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Extensible.xml" ContentType="application/vnd.openxmlformats-officedocument.wordprocessingml.commentsExtensib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Heading1"/>
      </w:pPr>
      <w:r>
        <w:rPr>
          <w:b/>
        </w:rPr>
        <w:t>Student Fitness to Study Policy (MPF1349)</w:t>
      </w:r>
    </w:p>
    <w:p>
      <w:r/>
    </w:p>
    <w:p>
      <w:r>
        <w:rPr>
          <w:rFonts w:ascii="Source Sans Pro" w:hAnsi="Source Sans Pro"/>
          <w:b/>
          <w:sz w:val="20"/>
        </w:rPr>
        <w:t xml:space="preserve">Category: </w:t>
      </w:r>
      <w:r/>
      <w:hyperlink r:id="rId37">
        <w:r>
          <w:rPr>
            <w:color w:val="0000FF"/>
            <w:u w:val="single"/>
          </w:rPr>
          <w:t xml:space="preserve"> Student Management and Support </w:t>
        </w:r>
      </w:hyperlink>
      <w:r/>
      <w:r>
        <w:br/>
      </w:r>
      <w:r>
        <w:rPr>
          <w:rFonts w:ascii="Source Sans Pro" w:hAnsi="Source Sans Pro"/>
          <w:b/>
          <w:sz w:val="20"/>
        </w:rPr>
        <w:t xml:space="preserve">Version: </w:t>
      </w:r>
      <w:r>
        <w:rPr>
          <w:rFonts w:ascii="Source Sans Pro" w:hAnsi="Source Sans Pro"/>
          <w:sz w:val="20"/>
        </w:rPr>
        <w:t>7</w:t>
        <w:br/>
      </w:r>
      <w:r>
        <w:rPr>
          <w:rFonts w:ascii="Source Sans Pro" w:hAnsi="Source Sans Pro"/>
          <w:b/>
          <w:sz w:val="20"/>
        </w:rPr>
        <w:t xml:space="preserve">Document Type: </w:t>
      </w:r>
      <w:r>
        <w:rPr>
          <w:rFonts w:ascii="Source Sans Pro" w:hAnsi="Source Sans Pro"/>
          <w:sz w:val="20"/>
        </w:rPr>
        <w:t>Policy</w:t>
        <w:br/>
      </w:r>
      <w:r>
        <w:rPr>
          <w:rFonts w:ascii="Source Sans Pro" w:hAnsi="Source Sans Pro"/>
          <w:b/>
          <w:sz w:val="20"/>
        </w:rPr>
        <w:t xml:space="preserve">Document Status: </w:t>
      </w:r>
      <w:r>
        <w:rPr>
          <w:rFonts w:ascii="Source Sans Pro" w:hAnsi="Source Sans Pro"/>
          <w:sz w:val="20"/>
        </w:rPr>
        <w:t>Published</w:t>
        <w:br/>
      </w:r>
      <w:r>
        <w:rPr>
          <w:rFonts w:ascii="Source Sans Pro" w:hAnsi="Source Sans Pro"/>
          <w:b/>
          <w:sz w:val="20"/>
        </w:rPr>
        <w:t xml:space="preserve">Approved Date: </w:t>
      </w:r>
      <w:r>
        <w:rPr>
          <w:rFonts w:ascii="Source Sans Pro" w:hAnsi="Source Sans Pro"/>
          <w:sz w:val="20"/>
        </w:rPr>
        <w:t>08 January, 2023</w:t>
        <w:br/>
      </w:r>
      <w:r>
        <w:rPr>
          <w:rFonts w:ascii="Source Sans Pro" w:hAnsi="Source Sans Pro"/>
          <w:b/>
          <w:sz w:val="20"/>
        </w:rPr>
        <w:t xml:space="preserve">Audience: </w:t>
      </w:r>
      <w:r>
        <w:rPr>
          <w:rFonts w:ascii="Source Sans Pro" w:hAnsi="Source Sans Pro"/>
          <w:sz w:val="20"/>
        </w:rPr>
        <w:t>Staff, Students, Academic</w:t>
        <w:br/>
      </w:r>
      <w:r>
        <w:rPr>
          <w:rFonts w:ascii="Source Sans Pro" w:hAnsi="Source Sans Pro"/>
          <w:b/>
          <w:sz w:val="20"/>
        </w:rPr>
        <w:t xml:space="preserve">Effective Date: </w:t>
      </w:r>
      <w:r>
        <w:rPr>
          <w:rFonts w:ascii="Source Sans Pro" w:hAnsi="Source Sans Pro"/>
          <w:sz w:val="20"/>
        </w:rPr>
        <w:t>09 January, 2023</w:t>
        <w:br/>
      </w:r>
      <w:r>
        <w:rPr>
          <w:rFonts w:ascii="Source Sans Pro" w:hAnsi="Source Sans Pro"/>
          <w:b/>
          <w:sz w:val="20"/>
        </w:rPr>
        <w:t xml:space="preserve">Review due by: </w:t>
      </w:r>
      <w:r>
        <w:rPr>
          <w:rFonts w:ascii="Source Sans Pro" w:hAnsi="Source Sans Pro"/>
          <w:sz w:val="20"/>
        </w:rPr>
        <w:t>31 December, 2023</w:t>
        <w:br/>
      </w:r>
      <w:r>
        <w:rPr>
          <w:rFonts w:ascii="Source Sans Pro" w:hAnsi="Source Sans Pro"/>
          <w:b/>
          <w:sz w:val="20"/>
        </w:rPr>
        <w:t xml:space="preserve">Policy Approver: </w:t>
      </w:r>
      <w:r>
        <w:rPr>
          <w:rFonts w:ascii="Source Sans Pro" w:hAnsi="Source Sans Pro"/>
          <w:sz w:val="20"/>
        </w:rPr>
        <w:t>Vice-President Administration &amp; Finance And Chief Operating Officer</w:t>
        <w:br/>
      </w:r>
      <w:r>
        <w:rPr>
          <w:rFonts w:ascii="Source Sans Pro" w:hAnsi="Source Sans Pro"/>
          <w:b/>
          <w:sz w:val="20"/>
        </w:rPr>
        <w:t xml:space="preserve">Policy Steward: </w:t>
      </w:r>
      <w:r>
        <w:rPr>
          <w:rFonts w:ascii="Source Sans Pro" w:hAnsi="Source Sans Pro"/>
          <w:sz w:val="20"/>
        </w:rPr>
        <w:t>Principal Adviser, Student Conduct</w:t>
        <w:br/>
      </w:r>
      <w:r>
        <w:rPr>
          <w:rFonts w:ascii="Source Sans Pro" w:hAnsi="Source Sans Pro"/>
          <w:b/>
          <w:sz w:val="20"/>
        </w:rPr>
        <w:t xml:space="preserve">Supporting Process: </w:t>
      </w:r>
      <w:r/>
      <w:r>
        <w:br/>
      </w:r>
      <w:hyperlink r:id="rId38">
        <w:r>
          <w:rPr>
            <w:color w:val="0000FF"/>
            <w:u w:val="single"/>
          </w:rPr>
          <w:t>Student Management and Support Processes</w:t>
        </w:r>
      </w:hyperlink>
      <w:r/>
      <w:r>
        <w:br/>
      </w:r>
    </w:p>
    <w:p w14:paraId="443EA65F" w14:textId="2CB9508A" w:rsidR="00982D06" w:rsidRDefault="00D96E42">
      <w:pPr>
        <w:pStyle w:val="Heading1"/>
      </w:pPr>
      <w:r>
        <w:t>Student Fitness to Study Policy (MPF1349)</w:t>
      </w:r>
      <w:r w:rsidR="009B4FA5" w:rsidDel="009B4FA5">
        <w:t xml:space="preserve"> </w:t>
      </w:r>
    </w:p>
    <w:p w14:paraId="328174B0" w14:textId="77777777" w:rsidR="00982D06" w:rsidRDefault="00D96E42">
      <w:pPr>
        <w:pStyle w:val="Heading2"/>
      </w:pPr>
      <w:r>
        <w:t>1. Objective</w:t>
      </w:r>
    </w:p>
    <w:p w14:paraId="2B66462D" w14:textId="77777777" w:rsidR="00982D06" w:rsidRDefault="00D96E42">
      <w:pPr>
        <w:spacing w:after="280" w:afterAutospacing="1"/>
        <w:rPr>
          <w:rFonts w:ascii="Arial" w:eastAsia="Arial" w:hAnsi="Arial" w:cs="Arial"/>
          <w:color w:val="000000"/>
          <w:sz w:val="20"/>
          <w:szCs w:val="20"/>
        </w:rPr>
      </w:pPr>
      <w:r>
        <w:rPr>
          <w:rFonts w:ascii="Arial" w:eastAsia="Arial" w:hAnsi="Arial" w:cs="Arial"/>
          <w:color w:val="000000"/>
          <w:sz w:val="20"/>
          <w:szCs w:val="20"/>
        </w:rPr>
        <w:t>1.1. The objectives of this policy are to:</w:t>
      </w:r>
    </w:p>
    <w:p w14:paraId="0D9EF5B5" w14:textId="77777777" w:rsidR="00982D06" w:rsidRDefault="00D96E42">
      <w:pPr>
        <w:pBdr>
          <w:left w:val="none" w:sz="0" w:space="22" w:color="auto"/>
        </w:pBdr>
        <w:spacing w:after="280" w:afterAutospacing="1"/>
        <w:rPr>
          <w:rFonts w:ascii="Arial" w:eastAsia="Arial" w:hAnsi="Arial" w:cs="Arial"/>
          <w:color w:val="000000"/>
          <w:sz w:val="20"/>
          <w:szCs w:val="20"/>
        </w:rPr>
      </w:pPr>
      <w:r>
        <w:rPr>
          <w:rFonts w:ascii="Arial" w:eastAsia="Arial" w:hAnsi="Arial" w:cs="Arial"/>
          <w:color w:val="000000"/>
          <w:sz w:val="20"/>
          <w:szCs w:val="20"/>
        </w:rPr>
        <w:t>(a) identify and support students whose behaviour and/or actions in relation to their fitness to study:</w:t>
      </w:r>
    </w:p>
    <w:p w14:paraId="2644CD90" w14:textId="77777777" w:rsidR="00982D06" w:rsidRDefault="00D96E42">
      <w:pPr>
        <w:pBdr>
          <w:left w:val="none" w:sz="0" w:space="31" w:color="auto"/>
        </w:pBdr>
        <w:spacing w:after="280" w:afterAutospacing="1"/>
        <w:rPr>
          <w:rFonts w:ascii="Arial" w:eastAsia="Arial" w:hAnsi="Arial" w:cs="Arial"/>
          <w:color w:val="000000"/>
          <w:sz w:val="20"/>
          <w:szCs w:val="20"/>
        </w:rPr>
      </w:pPr>
      <w:proofErr w:type="spellStart"/>
      <w:r>
        <w:rPr>
          <w:rFonts w:ascii="Arial" w:eastAsia="Arial" w:hAnsi="Arial" w:cs="Arial"/>
          <w:color w:val="000000"/>
          <w:sz w:val="20"/>
          <w:szCs w:val="20"/>
        </w:rPr>
        <w:t>i</w:t>
      </w:r>
      <w:proofErr w:type="spellEnd"/>
      <w:r>
        <w:rPr>
          <w:rFonts w:ascii="Arial" w:eastAsia="Arial" w:hAnsi="Arial" w:cs="Arial"/>
          <w:color w:val="000000"/>
          <w:sz w:val="20"/>
          <w:szCs w:val="20"/>
        </w:rPr>
        <w:t>. may be impacting adversely on, or pose a risk to the student’s learning/research or other students’ learning/research; and/or</w:t>
      </w:r>
    </w:p>
    <w:p w14:paraId="388ED89E" w14:textId="77777777" w:rsidR="00982D06" w:rsidRDefault="00D96E42">
      <w:pPr>
        <w:pBdr>
          <w:left w:val="none" w:sz="0" w:space="31" w:color="auto"/>
        </w:pBdr>
        <w:spacing w:after="280" w:afterAutospacing="1"/>
        <w:rPr>
          <w:rFonts w:ascii="Arial" w:eastAsia="Arial" w:hAnsi="Arial" w:cs="Arial"/>
          <w:color w:val="000000"/>
          <w:sz w:val="20"/>
          <w:szCs w:val="20"/>
        </w:rPr>
      </w:pPr>
      <w:r>
        <w:rPr>
          <w:rFonts w:ascii="Arial" w:eastAsia="Arial" w:hAnsi="Arial" w:cs="Arial"/>
          <w:color w:val="000000"/>
          <w:sz w:val="20"/>
          <w:szCs w:val="20"/>
        </w:rPr>
        <w:t>ii. pose a risk to, the health and safety of the student or others.</w:t>
      </w:r>
    </w:p>
    <w:p w14:paraId="5B18EDED" w14:textId="77777777" w:rsidR="00982D06" w:rsidRDefault="00D96E42">
      <w:pPr>
        <w:pBdr>
          <w:left w:val="none" w:sz="0" w:space="22" w:color="auto"/>
        </w:pBdr>
        <w:spacing w:after="280" w:afterAutospacing="1"/>
        <w:rPr>
          <w:rFonts w:ascii="Arial" w:eastAsia="Arial" w:hAnsi="Arial" w:cs="Arial"/>
          <w:color w:val="000000"/>
          <w:sz w:val="20"/>
          <w:szCs w:val="20"/>
        </w:rPr>
      </w:pPr>
      <w:r>
        <w:rPr>
          <w:rFonts w:ascii="Arial" w:eastAsia="Arial" w:hAnsi="Arial" w:cs="Arial"/>
          <w:color w:val="000000"/>
          <w:sz w:val="20"/>
          <w:szCs w:val="20"/>
        </w:rPr>
        <w:t>(b) support students who experience issues that may affect their fitness to study;</w:t>
      </w:r>
    </w:p>
    <w:p w14:paraId="666C96B4" w14:textId="77777777" w:rsidR="00982D06" w:rsidRDefault="00D96E42">
      <w:pPr>
        <w:pBdr>
          <w:left w:val="none" w:sz="0" w:space="22" w:color="auto"/>
        </w:pBdr>
        <w:spacing w:after="280" w:afterAutospacing="1"/>
        <w:rPr>
          <w:rFonts w:ascii="Arial" w:eastAsia="Arial" w:hAnsi="Arial" w:cs="Arial"/>
          <w:color w:val="000000"/>
          <w:sz w:val="20"/>
          <w:szCs w:val="20"/>
        </w:rPr>
      </w:pPr>
      <w:r>
        <w:rPr>
          <w:rFonts w:ascii="Arial" w:eastAsia="Arial" w:hAnsi="Arial" w:cs="Arial"/>
          <w:color w:val="000000"/>
          <w:sz w:val="20"/>
          <w:szCs w:val="20"/>
        </w:rPr>
        <w:t>(c) provide a suitable framework for the effective, consistent and timely identification and management of fitness to study issues that may arise;</w:t>
      </w:r>
    </w:p>
    <w:p w14:paraId="6EDE7006" w14:textId="77777777" w:rsidR="00982D06" w:rsidRDefault="00D96E42">
      <w:pPr>
        <w:pBdr>
          <w:left w:val="none" w:sz="0" w:space="22" w:color="auto"/>
        </w:pBdr>
        <w:spacing w:after="280" w:afterAutospacing="1"/>
        <w:rPr>
          <w:rFonts w:ascii="Arial" w:eastAsia="Arial" w:hAnsi="Arial" w:cs="Arial"/>
          <w:color w:val="000000"/>
          <w:sz w:val="20"/>
          <w:szCs w:val="20"/>
        </w:rPr>
      </w:pPr>
      <w:r>
        <w:rPr>
          <w:rFonts w:ascii="Arial" w:eastAsia="Arial" w:hAnsi="Arial" w:cs="Arial"/>
          <w:color w:val="000000"/>
          <w:sz w:val="20"/>
          <w:szCs w:val="20"/>
        </w:rPr>
        <w:t>(d) protect the student, staff, faculty, placement providers, the University, and the public.</w:t>
      </w:r>
    </w:p>
    <w:p w14:paraId="667C80F3" w14:textId="77777777" w:rsidR="00982D06" w:rsidRDefault="00D96E42">
      <w:pPr>
        <w:pStyle w:val="Heading2"/>
      </w:pPr>
      <w:r>
        <w:t>2. Scope</w:t>
      </w:r>
    </w:p>
    <w:p w14:paraId="516BE456" w14:textId="77777777" w:rsidR="00982D06" w:rsidRDefault="00D96E42">
      <w:pPr>
        <w:spacing w:after="280" w:afterAutospacing="1"/>
        <w:rPr>
          <w:rFonts w:ascii="Arial" w:eastAsia="Arial" w:hAnsi="Arial" w:cs="Arial"/>
          <w:color w:val="000000"/>
          <w:sz w:val="20"/>
          <w:szCs w:val="20"/>
        </w:rPr>
      </w:pPr>
      <w:r>
        <w:rPr>
          <w:rFonts w:ascii="Arial" w:eastAsia="Arial" w:hAnsi="Arial" w:cs="Arial"/>
          <w:color w:val="000000"/>
          <w:sz w:val="20"/>
          <w:szCs w:val="20"/>
        </w:rPr>
        <w:t>2.1. This policy applies to:</w:t>
      </w:r>
    </w:p>
    <w:p w14:paraId="33238CF6" w14:textId="77777777" w:rsidR="00982D06" w:rsidRDefault="00D96E42">
      <w:pPr>
        <w:pBdr>
          <w:left w:val="none" w:sz="0" w:space="22" w:color="auto"/>
        </w:pBdr>
        <w:spacing w:after="280" w:afterAutospacing="1"/>
        <w:rPr>
          <w:rFonts w:ascii="Arial" w:eastAsia="Arial" w:hAnsi="Arial" w:cs="Arial"/>
          <w:color w:val="000000"/>
          <w:sz w:val="20"/>
          <w:szCs w:val="20"/>
        </w:rPr>
      </w:pPr>
      <w:r>
        <w:rPr>
          <w:rFonts w:ascii="Arial" w:eastAsia="Arial" w:hAnsi="Arial" w:cs="Arial"/>
          <w:color w:val="000000"/>
          <w:sz w:val="20"/>
          <w:szCs w:val="20"/>
        </w:rPr>
        <w:t>(a) all students admitted to a course or subject of the University;</w:t>
      </w:r>
    </w:p>
    <w:p w14:paraId="75E38B69" w14:textId="77777777" w:rsidR="00982D06" w:rsidRDefault="00D96E42">
      <w:pPr>
        <w:pBdr>
          <w:left w:val="none" w:sz="0" w:space="22" w:color="auto"/>
        </w:pBdr>
        <w:spacing w:after="280" w:afterAutospacing="1"/>
        <w:rPr>
          <w:rFonts w:ascii="Arial" w:eastAsia="Arial" w:hAnsi="Arial" w:cs="Arial"/>
          <w:color w:val="000000"/>
          <w:sz w:val="20"/>
          <w:szCs w:val="20"/>
        </w:rPr>
      </w:pPr>
      <w:r>
        <w:rPr>
          <w:rFonts w:ascii="Arial" w:eastAsia="Arial" w:hAnsi="Arial" w:cs="Arial"/>
          <w:color w:val="000000"/>
          <w:sz w:val="20"/>
          <w:szCs w:val="20"/>
        </w:rPr>
        <w:t>(b) enrolled students;</w:t>
      </w:r>
    </w:p>
    <w:p w14:paraId="35683760" w14:textId="77777777" w:rsidR="00982D06" w:rsidRDefault="00D96E42">
      <w:pPr>
        <w:pBdr>
          <w:left w:val="none" w:sz="0" w:space="22" w:color="auto"/>
        </w:pBdr>
        <w:spacing w:after="280" w:afterAutospacing="1"/>
        <w:rPr>
          <w:rFonts w:ascii="Arial" w:eastAsia="Arial" w:hAnsi="Arial" w:cs="Arial"/>
          <w:color w:val="000000"/>
          <w:sz w:val="20"/>
          <w:szCs w:val="20"/>
        </w:rPr>
      </w:pPr>
      <w:r>
        <w:rPr>
          <w:rFonts w:ascii="Arial" w:eastAsia="Arial" w:hAnsi="Arial" w:cs="Arial"/>
          <w:color w:val="000000"/>
          <w:sz w:val="20"/>
          <w:szCs w:val="20"/>
        </w:rPr>
        <w:t>(c) prospective students;</w:t>
      </w:r>
    </w:p>
    <w:p w14:paraId="7A213E01" w14:textId="77777777" w:rsidR="00982D06" w:rsidRDefault="00D96E42">
      <w:pPr>
        <w:pBdr>
          <w:left w:val="none" w:sz="0" w:space="22" w:color="auto"/>
        </w:pBdr>
        <w:spacing w:after="280" w:afterAutospacing="1"/>
        <w:rPr>
          <w:rFonts w:ascii="Arial" w:eastAsia="Arial" w:hAnsi="Arial" w:cs="Arial"/>
          <w:color w:val="000000"/>
          <w:sz w:val="20"/>
          <w:szCs w:val="20"/>
        </w:rPr>
      </w:pPr>
      <w:r>
        <w:rPr>
          <w:rFonts w:ascii="Arial" w:eastAsia="Arial" w:hAnsi="Arial" w:cs="Arial"/>
          <w:color w:val="000000"/>
          <w:sz w:val="20"/>
          <w:szCs w:val="20"/>
        </w:rPr>
        <w:t>(d) former students seeking to return to study in a course or subject.</w:t>
      </w:r>
    </w:p>
    <w:p w14:paraId="6854AE49" w14:textId="1A7E79C6" w:rsidR="00982D06" w:rsidRDefault="00D96E42" w:rsidP="0EB1BB48">
      <w:pPr>
        <w:spacing w:after="280" w:afterAutospacing="1"/>
        <w:rPr>
          <w:rFonts w:ascii="Arial" w:eastAsia="Arial" w:hAnsi="Arial" w:cs="Arial"/>
          <w:color w:val="000000"/>
          <w:sz w:val="20"/>
          <w:szCs w:val="20"/>
        </w:rPr>
      </w:pPr>
      <w:r w:rsidRPr="0EB1BB48">
        <w:rPr>
          <w:rFonts w:ascii="Arial" w:eastAsia="Arial" w:hAnsi="Arial" w:cs="Arial"/>
          <w:color w:val="000000" w:themeColor="text1"/>
          <w:sz w:val="20"/>
          <w:szCs w:val="20"/>
        </w:rPr>
        <w:t xml:space="preserve">2.2. This policy does not operate in matters where a student is </w:t>
      </w:r>
      <w:r w:rsidR="003E697D">
        <w:rPr>
          <w:rFonts w:ascii="Arial" w:eastAsia="Arial" w:hAnsi="Arial" w:cs="Arial"/>
          <w:color w:val="000000" w:themeColor="text1"/>
          <w:sz w:val="20"/>
          <w:szCs w:val="20"/>
        </w:rPr>
        <w:t xml:space="preserve">initially </w:t>
      </w:r>
      <w:r w:rsidRPr="0EB1BB48">
        <w:rPr>
          <w:rFonts w:ascii="Arial" w:eastAsia="Arial" w:hAnsi="Arial" w:cs="Arial"/>
          <w:color w:val="000000" w:themeColor="text1"/>
          <w:sz w:val="20"/>
          <w:szCs w:val="20"/>
        </w:rPr>
        <w:t xml:space="preserve">alleged to have committed </w:t>
      </w:r>
      <w:r w:rsidR="0089221E" w:rsidRPr="0EB1BB48">
        <w:rPr>
          <w:rFonts w:ascii="Arial" w:eastAsia="Arial" w:hAnsi="Arial" w:cs="Arial"/>
          <w:color w:val="000000" w:themeColor="text1"/>
          <w:sz w:val="20"/>
          <w:szCs w:val="20"/>
        </w:rPr>
        <w:t xml:space="preserve">student </w:t>
      </w:r>
      <w:r w:rsidRPr="0EB1BB48">
        <w:rPr>
          <w:rFonts w:ascii="Arial" w:eastAsia="Arial" w:hAnsi="Arial" w:cs="Arial"/>
          <w:color w:val="000000" w:themeColor="text1"/>
          <w:sz w:val="20"/>
          <w:szCs w:val="20"/>
        </w:rPr>
        <w:t>general misconduct</w:t>
      </w:r>
      <w:r w:rsidR="6647D4A6" w:rsidRPr="0EB1BB48">
        <w:rPr>
          <w:rFonts w:ascii="Arial" w:eastAsia="Arial" w:hAnsi="Arial" w:cs="Arial"/>
          <w:color w:val="000000" w:themeColor="text1"/>
          <w:sz w:val="20"/>
          <w:szCs w:val="20"/>
        </w:rPr>
        <w:t>, unless the matter is referred under section 4.3(a) or 5.6(b),</w:t>
      </w:r>
      <w:r w:rsidRPr="0EB1BB48">
        <w:rPr>
          <w:rFonts w:ascii="Arial" w:eastAsia="Arial" w:hAnsi="Arial" w:cs="Arial"/>
          <w:color w:val="000000" w:themeColor="text1"/>
          <w:sz w:val="20"/>
          <w:szCs w:val="20"/>
        </w:rPr>
        <w:t xml:space="preserve">or </w:t>
      </w:r>
      <w:r w:rsidR="0089221E" w:rsidRPr="0EB1BB48">
        <w:rPr>
          <w:rFonts w:ascii="Arial" w:eastAsia="Arial" w:hAnsi="Arial" w:cs="Arial"/>
          <w:color w:val="000000" w:themeColor="text1"/>
          <w:sz w:val="20"/>
          <w:szCs w:val="20"/>
        </w:rPr>
        <w:t xml:space="preserve">is </w:t>
      </w:r>
      <w:r w:rsidRPr="0EB1BB48">
        <w:rPr>
          <w:rFonts w:ascii="Arial" w:eastAsia="Arial" w:hAnsi="Arial" w:cs="Arial"/>
          <w:color w:val="000000" w:themeColor="text1"/>
          <w:sz w:val="20"/>
          <w:szCs w:val="20"/>
        </w:rPr>
        <w:t>subject to a</w:t>
      </w:r>
      <w:r w:rsidR="004F5676" w:rsidRPr="0EB1BB48">
        <w:rPr>
          <w:rFonts w:ascii="Arial" w:eastAsia="Arial" w:hAnsi="Arial" w:cs="Arial"/>
          <w:color w:val="000000" w:themeColor="text1"/>
          <w:sz w:val="20"/>
          <w:szCs w:val="20"/>
        </w:rPr>
        <w:t>n</w:t>
      </w:r>
      <w:r w:rsidRPr="0EB1BB48">
        <w:rPr>
          <w:rFonts w:ascii="Arial" w:eastAsia="Arial" w:hAnsi="Arial" w:cs="Arial"/>
          <w:color w:val="000000" w:themeColor="text1"/>
          <w:sz w:val="20"/>
          <w:szCs w:val="20"/>
        </w:rPr>
        <w:t xml:space="preserve"> </w:t>
      </w:r>
      <w:r w:rsidR="004F5676" w:rsidRPr="0EB1BB48">
        <w:rPr>
          <w:rFonts w:ascii="Arial" w:eastAsia="Arial" w:hAnsi="Arial" w:cs="Arial"/>
          <w:color w:val="000000" w:themeColor="text1"/>
          <w:sz w:val="20"/>
          <w:szCs w:val="20"/>
        </w:rPr>
        <w:t xml:space="preserve">Immediate </w:t>
      </w:r>
      <w:r w:rsidRPr="0EB1BB48">
        <w:rPr>
          <w:rFonts w:ascii="Arial" w:eastAsia="Arial" w:hAnsi="Arial" w:cs="Arial"/>
          <w:color w:val="000000" w:themeColor="text1"/>
          <w:sz w:val="20"/>
          <w:szCs w:val="20"/>
        </w:rPr>
        <w:t xml:space="preserve">Order in accordance with Part 6 of the </w:t>
      </w:r>
      <w:hyperlink r:id="rId11">
        <w:r w:rsidRPr="0EB1BB48">
          <w:rPr>
            <w:rFonts w:ascii="Arial" w:eastAsia="Arial" w:hAnsi="Arial" w:cs="Arial"/>
            <w:color w:val="0000FF"/>
            <w:sz w:val="20"/>
            <w:szCs w:val="20"/>
            <w:u w:val="single"/>
          </w:rPr>
          <w:t>Vice Chancellor Regulation</w:t>
        </w:r>
      </w:hyperlink>
      <w:r w:rsidRPr="0EB1BB48">
        <w:rPr>
          <w:rFonts w:ascii="Arial" w:eastAsia="Arial" w:hAnsi="Arial" w:cs="Arial"/>
          <w:color w:val="000000" w:themeColor="text1"/>
          <w:sz w:val="20"/>
          <w:szCs w:val="20"/>
        </w:rPr>
        <w:t>.</w:t>
      </w:r>
    </w:p>
    <w:p w14:paraId="13AF2587" w14:textId="163D04E9" w:rsidR="00982D06" w:rsidRDefault="00D96E42">
      <w:pPr>
        <w:spacing w:after="280" w:afterAutospacing="1"/>
        <w:rPr>
          <w:rFonts w:ascii="Arial" w:eastAsia="Arial" w:hAnsi="Arial" w:cs="Arial"/>
          <w:color w:val="000000"/>
          <w:sz w:val="20"/>
          <w:szCs w:val="20"/>
        </w:rPr>
      </w:pPr>
      <w:r>
        <w:rPr>
          <w:rFonts w:ascii="Arial" w:eastAsia="Arial" w:hAnsi="Arial" w:cs="Arial"/>
          <w:color w:val="000000"/>
          <w:sz w:val="20"/>
          <w:szCs w:val="20"/>
        </w:rPr>
        <w:t xml:space="preserve">2.3. This policy works alongside the </w:t>
      </w:r>
      <w:hyperlink r:id="rId12" w:history="1">
        <w:r>
          <w:rPr>
            <w:rFonts w:ascii="Arial" w:eastAsia="Arial" w:hAnsi="Arial" w:cs="Arial"/>
            <w:color w:val="0000FF"/>
            <w:sz w:val="20"/>
            <w:szCs w:val="20"/>
            <w:u w:val="single"/>
          </w:rPr>
          <w:t>Academic Progress Review Policy</w:t>
        </w:r>
      </w:hyperlink>
      <w:r>
        <w:rPr>
          <w:rFonts w:ascii="Arial" w:eastAsia="Arial" w:hAnsi="Arial" w:cs="Arial"/>
          <w:color w:val="000000"/>
          <w:sz w:val="20"/>
          <w:szCs w:val="20"/>
        </w:rPr>
        <w:t xml:space="preserve"> (MPF1291), </w:t>
      </w:r>
      <w:hyperlink r:id="rId13" w:history="1">
        <w:r>
          <w:rPr>
            <w:rFonts w:ascii="Arial" w:eastAsia="Arial" w:hAnsi="Arial" w:cs="Arial"/>
            <w:color w:val="0000FF"/>
            <w:sz w:val="20"/>
            <w:szCs w:val="20"/>
            <w:u w:val="single"/>
          </w:rPr>
          <w:t>Graduate Research Training Policy</w:t>
        </w:r>
      </w:hyperlink>
      <w:r>
        <w:rPr>
          <w:rFonts w:ascii="Arial" w:eastAsia="Arial" w:hAnsi="Arial" w:cs="Arial"/>
          <w:color w:val="000000"/>
          <w:sz w:val="20"/>
          <w:szCs w:val="20"/>
        </w:rPr>
        <w:t xml:space="preserve"> (MPF1321), </w:t>
      </w:r>
      <w:hyperlink r:id="rId14" w:history="1">
        <w:r>
          <w:rPr>
            <w:rFonts w:ascii="Arial" w:eastAsia="Arial" w:hAnsi="Arial" w:cs="Arial"/>
            <w:color w:val="0000FF"/>
            <w:sz w:val="20"/>
            <w:szCs w:val="20"/>
            <w:u w:val="single"/>
          </w:rPr>
          <w:t>Student Fitness to Practice Policy</w:t>
        </w:r>
      </w:hyperlink>
      <w:r>
        <w:rPr>
          <w:rFonts w:ascii="Arial" w:eastAsia="Arial" w:hAnsi="Arial" w:cs="Arial"/>
          <w:color w:val="000000"/>
          <w:sz w:val="20"/>
          <w:szCs w:val="20"/>
        </w:rPr>
        <w:t xml:space="preserve"> (MPF1345) and Part 7 of the </w:t>
      </w:r>
      <w:hyperlink r:id="rId15" w:history="1">
        <w:r>
          <w:rPr>
            <w:rFonts w:ascii="Arial" w:eastAsia="Arial" w:hAnsi="Arial" w:cs="Arial"/>
            <w:color w:val="0000FF"/>
            <w:sz w:val="20"/>
            <w:szCs w:val="20"/>
            <w:u w:val="single"/>
          </w:rPr>
          <w:t>Academic Board Regulation</w:t>
        </w:r>
      </w:hyperlink>
      <w:r>
        <w:rPr>
          <w:rFonts w:ascii="Arial" w:eastAsia="Arial" w:hAnsi="Arial" w:cs="Arial"/>
          <w:color w:val="000000"/>
          <w:sz w:val="20"/>
          <w:szCs w:val="20"/>
        </w:rPr>
        <w:t>, relevant course and subject rules.</w:t>
      </w:r>
    </w:p>
    <w:p w14:paraId="413F5AF3" w14:textId="77777777" w:rsidR="00982D06" w:rsidRDefault="00D96E42">
      <w:pPr>
        <w:pStyle w:val="Heading2"/>
      </w:pPr>
      <w:r>
        <w:t>3. Authority</w:t>
      </w:r>
    </w:p>
    <w:p w14:paraId="3690EAE1" w14:textId="3DF21AF6" w:rsidR="00982D06" w:rsidRDefault="00D96E42">
      <w:pPr>
        <w:spacing w:after="280" w:afterAutospacing="1"/>
        <w:rPr>
          <w:rFonts w:ascii="Arial" w:eastAsia="Arial" w:hAnsi="Arial" w:cs="Arial"/>
          <w:color w:val="000000"/>
          <w:sz w:val="20"/>
          <w:szCs w:val="20"/>
        </w:rPr>
      </w:pPr>
      <w:r>
        <w:rPr>
          <w:rFonts w:ascii="Arial" w:eastAsia="Arial" w:hAnsi="Arial" w:cs="Arial"/>
          <w:color w:val="000000"/>
          <w:sz w:val="20"/>
          <w:szCs w:val="20"/>
        </w:rPr>
        <w:t xml:space="preserve">3.1. This policy is made under the </w:t>
      </w:r>
      <w:hyperlink r:id="rId16" w:anchor="legislation" w:history="1">
        <w:r>
          <w:rPr>
            <w:rFonts w:ascii="Arial" w:eastAsia="Arial" w:hAnsi="Arial" w:cs="Arial"/>
            <w:color w:val="0000FF"/>
            <w:sz w:val="20"/>
            <w:szCs w:val="20"/>
            <w:u w:val="single"/>
          </w:rPr>
          <w:t>University of Melbourne Act 2009 (Vic)</w:t>
        </w:r>
      </w:hyperlink>
      <w:r>
        <w:rPr>
          <w:rFonts w:ascii="Arial" w:eastAsia="Arial" w:hAnsi="Arial" w:cs="Arial"/>
          <w:color w:val="000000"/>
          <w:sz w:val="20"/>
          <w:szCs w:val="20"/>
        </w:rPr>
        <w:t xml:space="preserve"> and section </w:t>
      </w:r>
      <w:r w:rsidR="00B51BB9">
        <w:rPr>
          <w:rFonts w:ascii="Arial" w:eastAsia="Arial" w:hAnsi="Arial" w:cs="Arial"/>
          <w:color w:val="000000"/>
          <w:sz w:val="20"/>
          <w:szCs w:val="20"/>
        </w:rPr>
        <w:t>31</w:t>
      </w:r>
      <w:r w:rsidR="00177600">
        <w:rPr>
          <w:rFonts w:ascii="Arial" w:eastAsia="Arial" w:hAnsi="Arial" w:cs="Arial"/>
          <w:color w:val="000000"/>
          <w:sz w:val="20"/>
          <w:szCs w:val="20"/>
        </w:rPr>
        <w:t xml:space="preserve">(3) </w:t>
      </w:r>
      <w:r>
        <w:rPr>
          <w:rFonts w:ascii="Arial" w:eastAsia="Arial" w:hAnsi="Arial" w:cs="Arial"/>
          <w:color w:val="000000"/>
          <w:sz w:val="20"/>
          <w:szCs w:val="20"/>
        </w:rPr>
        <w:t xml:space="preserve">of the </w:t>
      </w:r>
      <w:hyperlink r:id="rId17" w:history="1">
        <w:r>
          <w:rPr>
            <w:rFonts w:ascii="Arial" w:eastAsia="Arial" w:hAnsi="Arial" w:cs="Arial"/>
            <w:color w:val="0000FF"/>
            <w:sz w:val="20"/>
            <w:szCs w:val="20"/>
            <w:u w:val="single"/>
          </w:rPr>
          <w:t>Vice Chancellor Regulation</w:t>
        </w:r>
      </w:hyperlink>
      <w:r>
        <w:rPr>
          <w:rFonts w:ascii="Arial" w:eastAsia="Arial" w:hAnsi="Arial" w:cs="Arial"/>
          <w:color w:val="000000"/>
          <w:sz w:val="20"/>
          <w:szCs w:val="20"/>
        </w:rPr>
        <w:t xml:space="preserve"> and supports compliance with the Equal Opportunity Act 2011 (Vic) and the Charter of Human Rights and Responsibilities Act 2006 (Vic).</w:t>
      </w:r>
    </w:p>
    <w:p w14:paraId="708F81F7" w14:textId="77777777" w:rsidR="00982D06" w:rsidRDefault="00D96E42">
      <w:pPr>
        <w:pStyle w:val="Heading2"/>
      </w:pPr>
      <w:r>
        <w:t>4. Policy</w:t>
      </w:r>
    </w:p>
    <w:p w14:paraId="4C79E4D4" w14:textId="77777777" w:rsidR="00982D06" w:rsidRDefault="00D96E42">
      <w:pPr>
        <w:spacing w:after="280" w:afterAutospacing="1"/>
        <w:rPr>
          <w:rFonts w:ascii="Arial" w:eastAsia="Arial" w:hAnsi="Arial" w:cs="Arial"/>
          <w:color w:val="000000"/>
          <w:sz w:val="20"/>
          <w:szCs w:val="20"/>
        </w:rPr>
      </w:pPr>
      <w:r>
        <w:rPr>
          <w:rFonts w:ascii="Arial" w:eastAsia="Arial" w:hAnsi="Arial" w:cs="Arial"/>
          <w:color w:val="000000"/>
          <w:sz w:val="20"/>
          <w:szCs w:val="20"/>
        </w:rPr>
        <w:t>4.1. Students must be offered reasonable support to enable successful completion of study in courses and subjects.</w:t>
      </w:r>
    </w:p>
    <w:p w14:paraId="7B4C7BD8" w14:textId="77777777" w:rsidR="00982D06" w:rsidRDefault="00D96E42">
      <w:pPr>
        <w:spacing w:after="280" w:afterAutospacing="1"/>
        <w:rPr>
          <w:rFonts w:ascii="Arial" w:eastAsia="Arial" w:hAnsi="Arial" w:cs="Arial"/>
          <w:color w:val="000000"/>
          <w:sz w:val="20"/>
          <w:szCs w:val="20"/>
        </w:rPr>
      </w:pPr>
      <w:r>
        <w:rPr>
          <w:rFonts w:ascii="Arial" w:eastAsia="Arial" w:hAnsi="Arial" w:cs="Arial"/>
          <w:color w:val="000000"/>
          <w:sz w:val="20"/>
          <w:szCs w:val="20"/>
        </w:rPr>
        <w:lastRenderedPageBreak/>
        <w:t>4.2. University staff, including any group or panel, involved in implementing this policy must:</w:t>
      </w:r>
    </w:p>
    <w:p w14:paraId="4037FDB6" w14:textId="77777777" w:rsidR="00982D06" w:rsidRDefault="00D96E42">
      <w:pPr>
        <w:pBdr>
          <w:left w:val="none" w:sz="0" w:space="22" w:color="auto"/>
        </w:pBdr>
        <w:spacing w:after="280" w:afterAutospacing="1"/>
        <w:rPr>
          <w:rFonts w:ascii="Arial" w:eastAsia="Arial" w:hAnsi="Arial" w:cs="Arial"/>
          <w:color w:val="000000"/>
          <w:sz w:val="20"/>
          <w:szCs w:val="20"/>
        </w:rPr>
      </w:pPr>
      <w:r>
        <w:rPr>
          <w:rFonts w:ascii="Arial" w:eastAsia="Arial" w:hAnsi="Arial" w:cs="Arial"/>
          <w:color w:val="000000"/>
          <w:sz w:val="20"/>
          <w:szCs w:val="20"/>
        </w:rPr>
        <w:t>(a) consider what University support may be offered to students to provide equal opportunities for all students to develop their full learning potential and benefit from their study;</w:t>
      </w:r>
    </w:p>
    <w:p w14:paraId="3F0D0CDA" w14:textId="77777777" w:rsidR="00982D06" w:rsidRDefault="00D96E42">
      <w:pPr>
        <w:pBdr>
          <w:left w:val="none" w:sz="0" w:space="22" w:color="auto"/>
        </w:pBdr>
        <w:spacing w:after="280" w:afterAutospacing="1"/>
        <w:rPr>
          <w:rFonts w:ascii="Arial" w:eastAsia="Arial" w:hAnsi="Arial" w:cs="Arial"/>
          <w:color w:val="000000"/>
          <w:sz w:val="20"/>
          <w:szCs w:val="20"/>
        </w:rPr>
      </w:pPr>
      <w:r>
        <w:rPr>
          <w:rFonts w:ascii="Arial" w:eastAsia="Arial" w:hAnsi="Arial" w:cs="Arial"/>
          <w:color w:val="000000"/>
          <w:sz w:val="20"/>
          <w:szCs w:val="20"/>
        </w:rPr>
        <w:t>(b) undertake procedures or processes that are transparent to the student involved;</w:t>
      </w:r>
    </w:p>
    <w:p w14:paraId="72B2E9F3" w14:textId="77777777" w:rsidR="00982D06" w:rsidRDefault="00D96E42">
      <w:pPr>
        <w:pBdr>
          <w:left w:val="none" w:sz="0" w:space="22" w:color="auto"/>
        </w:pBdr>
        <w:spacing w:after="280" w:afterAutospacing="1"/>
        <w:rPr>
          <w:rFonts w:ascii="Arial" w:eastAsia="Arial" w:hAnsi="Arial" w:cs="Arial"/>
          <w:color w:val="000000"/>
          <w:sz w:val="20"/>
          <w:szCs w:val="20"/>
        </w:rPr>
      </w:pPr>
      <w:r>
        <w:rPr>
          <w:rFonts w:ascii="Arial" w:eastAsia="Arial" w:hAnsi="Arial" w:cs="Arial"/>
          <w:color w:val="000000"/>
          <w:sz w:val="20"/>
          <w:szCs w:val="20"/>
        </w:rPr>
        <w:t>(c) handle matters raised under this policy sensitively;</w:t>
      </w:r>
    </w:p>
    <w:p w14:paraId="54C5F88D" w14:textId="42D089D0" w:rsidR="00982D06" w:rsidRDefault="00D96E42">
      <w:pPr>
        <w:pBdr>
          <w:left w:val="none" w:sz="0" w:space="22" w:color="auto"/>
        </w:pBdr>
        <w:spacing w:after="280" w:afterAutospacing="1"/>
        <w:rPr>
          <w:rFonts w:ascii="Arial" w:eastAsia="Arial" w:hAnsi="Arial" w:cs="Arial"/>
          <w:color w:val="000000"/>
          <w:sz w:val="20"/>
          <w:szCs w:val="20"/>
        </w:rPr>
      </w:pPr>
      <w:r>
        <w:rPr>
          <w:rFonts w:ascii="Arial" w:eastAsia="Arial" w:hAnsi="Arial" w:cs="Arial"/>
          <w:color w:val="000000"/>
          <w:sz w:val="20"/>
          <w:szCs w:val="20"/>
        </w:rPr>
        <w:t>(d) maintain student confidentially in accordance with the University Privacy Policy</w:t>
      </w:r>
      <w:r w:rsidR="00003979">
        <w:rPr>
          <w:rFonts w:ascii="Arial" w:eastAsia="Arial" w:hAnsi="Arial" w:cs="Arial"/>
          <w:color w:val="000000"/>
          <w:sz w:val="20"/>
          <w:szCs w:val="20"/>
        </w:rPr>
        <w:t xml:space="preserve"> (</w:t>
      </w:r>
      <w:hyperlink r:id="rId18" w:history="1">
        <w:r w:rsidR="00003979" w:rsidRPr="00DB6918">
          <w:rPr>
            <w:rStyle w:val="Hyperlink"/>
            <w:rFonts w:ascii="Arial" w:eastAsia="Arial" w:hAnsi="Arial" w:cs="Arial"/>
            <w:sz w:val="20"/>
            <w:szCs w:val="20"/>
          </w:rPr>
          <w:t>MPF1104</w:t>
        </w:r>
      </w:hyperlink>
      <w:r w:rsidR="00003979">
        <w:rPr>
          <w:rFonts w:ascii="Arial" w:eastAsia="Arial" w:hAnsi="Arial" w:cs="Arial"/>
          <w:color w:val="000000"/>
          <w:sz w:val="20"/>
          <w:szCs w:val="20"/>
        </w:rPr>
        <w:t xml:space="preserve">); </w:t>
      </w:r>
      <w:r>
        <w:rPr>
          <w:rFonts w:ascii="Arial" w:eastAsia="Arial" w:hAnsi="Arial" w:cs="Arial"/>
          <w:color w:val="000000"/>
          <w:sz w:val="20"/>
          <w:szCs w:val="20"/>
        </w:rPr>
        <w:t>and</w:t>
      </w:r>
    </w:p>
    <w:p w14:paraId="49DD1B01" w14:textId="77777777" w:rsidR="00982D06" w:rsidRDefault="00D96E42">
      <w:pPr>
        <w:pBdr>
          <w:left w:val="none" w:sz="0" w:space="22" w:color="auto"/>
        </w:pBdr>
        <w:spacing w:after="280" w:afterAutospacing="1"/>
        <w:rPr>
          <w:rFonts w:ascii="Arial" w:eastAsia="Arial" w:hAnsi="Arial" w:cs="Arial"/>
          <w:color w:val="000000"/>
          <w:sz w:val="20"/>
          <w:szCs w:val="20"/>
        </w:rPr>
      </w:pPr>
      <w:r>
        <w:rPr>
          <w:rFonts w:ascii="Arial" w:eastAsia="Arial" w:hAnsi="Arial" w:cs="Arial"/>
          <w:color w:val="000000"/>
          <w:sz w:val="20"/>
          <w:szCs w:val="20"/>
        </w:rPr>
        <w:t>(e) provide any student subject to a concern about the student’s fitness to study, an opportunity to be heard and accompanied or represented by a support person.</w:t>
      </w:r>
    </w:p>
    <w:p w14:paraId="4261D0C7" w14:textId="77777777" w:rsidR="00982D06" w:rsidRDefault="00D96E42">
      <w:pPr>
        <w:spacing w:after="280" w:afterAutospacing="1"/>
        <w:rPr>
          <w:rFonts w:ascii="Arial" w:eastAsia="Arial" w:hAnsi="Arial" w:cs="Arial"/>
          <w:color w:val="000000"/>
          <w:sz w:val="20"/>
          <w:szCs w:val="20"/>
        </w:rPr>
      </w:pPr>
      <w:r>
        <w:rPr>
          <w:rFonts w:ascii="Arial" w:eastAsia="Arial" w:hAnsi="Arial" w:cs="Arial"/>
          <w:color w:val="000000"/>
          <w:sz w:val="20"/>
          <w:szCs w:val="20"/>
        </w:rPr>
        <w:t>4.3. The Academic Registrar may, at any time:</w:t>
      </w:r>
    </w:p>
    <w:p w14:paraId="3D932CD9" w14:textId="77777777" w:rsidR="00982D06" w:rsidRDefault="00D96E42">
      <w:pPr>
        <w:pBdr>
          <w:left w:val="none" w:sz="0" w:space="22" w:color="auto"/>
        </w:pBdr>
        <w:spacing w:after="280" w:afterAutospacing="1"/>
        <w:rPr>
          <w:rFonts w:ascii="Arial" w:eastAsia="Arial" w:hAnsi="Arial" w:cs="Arial"/>
          <w:color w:val="000000"/>
          <w:sz w:val="20"/>
          <w:szCs w:val="20"/>
        </w:rPr>
      </w:pPr>
      <w:r>
        <w:rPr>
          <w:rFonts w:ascii="Arial" w:eastAsia="Arial" w:hAnsi="Arial" w:cs="Arial"/>
          <w:color w:val="000000"/>
          <w:sz w:val="20"/>
          <w:szCs w:val="20"/>
        </w:rPr>
        <w:t>(a) refer any matter initiated under this policy to be dealt with under another policy or University Regulation as appropriate; and</w:t>
      </w:r>
    </w:p>
    <w:p w14:paraId="522C5068" w14:textId="77777777" w:rsidR="00982D06" w:rsidRDefault="00D96E42">
      <w:pPr>
        <w:pBdr>
          <w:left w:val="none" w:sz="0" w:space="22" w:color="auto"/>
        </w:pBdr>
        <w:spacing w:after="280" w:afterAutospacing="1"/>
        <w:rPr>
          <w:rFonts w:ascii="Arial" w:eastAsia="Arial" w:hAnsi="Arial" w:cs="Arial"/>
          <w:color w:val="000000"/>
          <w:sz w:val="20"/>
          <w:szCs w:val="20"/>
        </w:rPr>
      </w:pPr>
      <w:r>
        <w:rPr>
          <w:rFonts w:ascii="Arial" w:eastAsia="Arial" w:hAnsi="Arial" w:cs="Arial"/>
          <w:color w:val="000000"/>
          <w:sz w:val="20"/>
          <w:szCs w:val="20"/>
        </w:rPr>
        <w:t>(b) stop any actions commenced under this policy.</w:t>
      </w:r>
    </w:p>
    <w:p w14:paraId="09157BE1" w14:textId="77777777" w:rsidR="00982D06" w:rsidRDefault="00D96E42">
      <w:pPr>
        <w:pStyle w:val="Heading2"/>
      </w:pPr>
      <w:r>
        <w:t>5. Procedural principles</w:t>
      </w:r>
    </w:p>
    <w:p w14:paraId="183E0EE7" w14:textId="77777777" w:rsidR="00982D06" w:rsidRDefault="00D96E42">
      <w:pPr>
        <w:pStyle w:val="Heading3"/>
      </w:pPr>
      <w:r>
        <w:t>Case Management and Support</w:t>
      </w:r>
    </w:p>
    <w:p w14:paraId="1FCE752F" w14:textId="5D4524D2" w:rsidR="00982D06" w:rsidRDefault="00D96E42">
      <w:pPr>
        <w:spacing w:after="280" w:afterAutospacing="1"/>
        <w:rPr>
          <w:rFonts w:ascii="Arial" w:eastAsia="Arial" w:hAnsi="Arial" w:cs="Arial"/>
          <w:color w:val="000000"/>
          <w:sz w:val="20"/>
          <w:szCs w:val="20"/>
        </w:rPr>
      </w:pPr>
      <w:r>
        <w:rPr>
          <w:rFonts w:ascii="Arial" w:eastAsia="Arial" w:hAnsi="Arial" w:cs="Arial"/>
          <w:color w:val="000000"/>
          <w:sz w:val="20"/>
          <w:szCs w:val="20"/>
        </w:rPr>
        <w:t>5.1. A dean must appoint at least one senior member of staff as a faculty fitness to study officer to support the implementation of this policy.</w:t>
      </w:r>
    </w:p>
    <w:p w14:paraId="4E724791" w14:textId="66F4787E" w:rsidR="00982D06" w:rsidRDefault="00D96E42">
      <w:pPr>
        <w:spacing w:after="280" w:afterAutospacing="1"/>
        <w:rPr>
          <w:rFonts w:ascii="Arial" w:eastAsia="Arial" w:hAnsi="Arial" w:cs="Arial"/>
          <w:color w:val="000000"/>
          <w:sz w:val="20"/>
          <w:szCs w:val="20"/>
        </w:rPr>
      </w:pPr>
      <w:r>
        <w:rPr>
          <w:rFonts w:ascii="Arial" w:eastAsia="Arial" w:hAnsi="Arial" w:cs="Arial"/>
          <w:color w:val="000000"/>
          <w:sz w:val="20"/>
          <w:szCs w:val="20"/>
        </w:rPr>
        <w:t xml:space="preserve">5.2. The Academic Registrar must establish a standing Fitness to Study Advisory Group of University staff with expertise in student health, equity and disability, wellbeing and support. The group provides advice to university staff on reasonable adjustments to studies and appropriate ways for the university to respond to and support students whose behaviour has been raised as a concern. The group does not make a diagnosis or provide </w:t>
      </w:r>
      <w:r w:rsidR="00143311">
        <w:rPr>
          <w:rFonts w:ascii="Arial" w:eastAsia="Arial" w:hAnsi="Arial" w:cs="Arial"/>
          <w:color w:val="000000"/>
          <w:sz w:val="20"/>
          <w:szCs w:val="20"/>
        </w:rPr>
        <w:t xml:space="preserve">medical </w:t>
      </w:r>
      <w:r>
        <w:rPr>
          <w:rFonts w:ascii="Arial" w:eastAsia="Arial" w:hAnsi="Arial" w:cs="Arial"/>
          <w:color w:val="000000"/>
          <w:sz w:val="20"/>
          <w:szCs w:val="20"/>
        </w:rPr>
        <w:t>advice on the management of a student’s health or disability related condition.</w:t>
      </w:r>
    </w:p>
    <w:p w14:paraId="1130680F" w14:textId="77777777" w:rsidR="00982D06" w:rsidRDefault="00D96E42">
      <w:pPr>
        <w:spacing w:after="280" w:afterAutospacing="1"/>
        <w:rPr>
          <w:rFonts w:ascii="Arial" w:eastAsia="Arial" w:hAnsi="Arial" w:cs="Arial"/>
          <w:color w:val="000000"/>
          <w:sz w:val="20"/>
          <w:szCs w:val="20"/>
        </w:rPr>
      </w:pPr>
      <w:r>
        <w:rPr>
          <w:rFonts w:ascii="Arial" w:eastAsia="Arial" w:hAnsi="Arial" w:cs="Arial"/>
          <w:color w:val="000000"/>
          <w:sz w:val="20"/>
          <w:szCs w:val="20"/>
        </w:rPr>
        <w:t>5.3. University staff, students, supervisors or other member of the University community who considers that a student’s behaviour represents grounds for concern about the student’s fitness to study must report this to the Academic Registrar who may:</w:t>
      </w:r>
    </w:p>
    <w:p w14:paraId="0914CDE3" w14:textId="77777777" w:rsidR="00982D06" w:rsidRDefault="00D96E42">
      <w:pPr>
        <w:pBdr>
          <w:left w:val="none" w:sz="0" w:space="22" w:color="auto"/>
        </w:pBdr>
        <w:spacing w:after="280" w:afterAutospacing="1"/>
        <w:rPr>
          <w:rFonts w:ascii="Arial" w:eastAsia="Arial" w:hAnsi="Arial" w:cs="Arial"/>
          <w:color w:val="000000"/>
          <w:sz w:val="20"/>
          <w:szCs w:val="20"/>
        </w:rPr>
      </w:pPr>
      <w:r>
        <w:rPr>
          <w:rFonts w:ascii="Arial" w:eastAsia="Arial" w:hAnsi="Arial" w:cs="Arial"/>
          <w:color w:val="000000"/>
          <w:sz w:val="20"/>
          <w:szCs w:val="20"/>
        </w:rPr>
        <w:t>(a) refer the matter to be managed according to another policy or process; or</w:t>
      </w:r>
    </w:p>
    <w:p w14:paraId="5D28BE47" w14:textId="5E16F14D" w:rsidR="005626B9" w:rsidRDefault="00D96E42" w:rsidP="00D17ADB">
      <w:pPr>
        <w:pBdr>
          <w:left w:val="none" w:sz="0" w:space="22" w:color="auto"/>
        </w:pBdr>
        <w:spacing w:after="280" w:afterAutospacing="1"/>
        <w:rPr>
          <w:rFonts w:ascii="Arial" w:eastAsia="Arial" w:hAnsi="Arial" w:cs="Arial"/>
          <w:color w:val="000000"/>
          <w:sz w:val="20"/>
          <w:szCs w:val="20"/>
        </w:rPr>
      </w:pPr>
      <w:r>
        <w:rPr>
          <w:rFonts w:ascii="Arial" w:eastAsia="Arial" w:hAnsi="Arial" w:cs="Arial"/>
          <w:color w:val="000000"/>
          <w:sz w:val="20"/>
          <w:szCs w:val="20"/>
        </w:rPr>
        <w:t xml:space="preserve">(b) subject to section 5.4, </w:t>
      </w:r>
      <w:r w:rsidR="006F55CB">
        <w:rPr>
          <w:rFonts w:ascii="Arial" w:eastAsia="Arial" w:hAnsi="Arial" w:cs="Arial"/>
          <w:color w:val="000000"/>
          <w:sz w:val="20"/>
          <w:szCs w:val="20"/>
        </w:rPr>
        <w:t xml:space="preserve">the Academic Registrar will </w:t>
      </w:r>
      <w:r>
        <w:rPr>
          <w:rFonts w:ascii="Arial" w:eastAsia="Arial" w:hAnsi="Arial" w:cs="Arial"/>
          <w:color w:val="000000"/>
          <w:sz w:val="20"/>
          <w:szCs w:val="20"/>
        </w:rPr>
        <w:t>nominate an appropriate case coordinator</w:t>
      </w:r>
      <w:r w:rsidR="006F55CB">
        <w:rPr>
          <w:rFonts w:ascii="Arial" w:eastAsia="Arial" w:hAnsi="Arial" w:cs="Arial"/>
          <w:color w:val="000000"/>
          <w:sz w:val="20"/>
          <w:szCs w:val="20"/>
        </w:rPr>
        <w:t>, who</w:t>
      </w:r>
      <w:r w:rsidR="00ED50F3">
        <w:rPr>
          <w:rFonts w:ascii="Arial" w:eastAsia="Arial" w:hAnsi="Arial" w:cs="Arial"/>
          <w:color w:val="000000"/>
          <w:sz w:val="20"/>
          <w:szCs w:val="20"/>
        </w:rPr>
        <w:t xml:space="preserve"> may be a </w:t>
      </w:r>
      <w:r w:rsidR="00030C6B">
        <w:rPr>
          <w:rFonts w:ascii="Arial" w:eastAsia="Arial" w:hAnsi="Arial" w:cs="Arial"/>
          <w:color w:val="000000"/>
          <w:sz w:val="20"/>
          <w:szCs w:val="20"/>
        </w:rPr>
        <w:t>senior member of academic or professional staff with expertise the provision of advice or support in health, equity, disability or wellbeing</w:t>
      </w:r>
      <w:r w:rsidR="005626B9">
        <w:rPr>
          <w:rFonts w:ascii="Arial" w:eastAsia="Arial" w:hAnsi="Arial" w:cs="Arial"/>
          <w:color w:val="000000"/>
          <w:sz w:val="20"/>
          <w:szCs w:val="20"/>
        </w:rPr>
        <w:t>.</w:t>
      </w:r>
    </w:p>
    <w:p w14:paraId="5885F04B" w14:textId="1DE67C17" w:rsidR="00982D06" w:rsidRDefault="00D96E42" w:rsidP="00D17ADB">
      <w:pPr>
        <w:pBdr>
          <w:left w:val="none" w:sz="0" w:space="22" w:color="auto"/>
        </w:pBdr>
        <w:spacing w:after="280" w:afterAutospacing="1"/>
        <w:rPr>
          <w:rFonts w:ascii="Arial" w:eastAsia="Arial" w:hAnsi="Arial" w:cs="Arial"/>
          <w:color w:val="000000"/>
          <w:sz w:val="20"/>
          <w:szCs w:val="20"/>
        </w:rPr>
      </w:pPr>
      <w:r>
        <w:rPr>
          <w:rFonts w:ascii="Arial" w:eastAsia="Arial" w:hAnsi="Arial" w:cs="Arial"/>
          <w:color w:val="000000"/>
          <w:sz w:val="20"/>
          <w:szCs w:val="20"/>
        </w:rPr>
        <w:t>5.4. To nominate an appropriate case coordinator under section 5.3, the Academic Registrar must, in consultation with</w:t>
      </w:r>
      <w:r w:rsidR="007F35CF">
        <w:rPr>
          <w:rFonts w:ascii="Arial" w:eastAsia="Arial" w:hAnsi="Arial" w:cs="Arial"/>
          <w:color w:val="000000"/>
          <w:sz w:val="20"/>
          <w:szCs w:val="20"/>
        </w:rPr>
        <w:t xml:space="preserve"> per</w:t>
      </w:r>
      <w:r w:rsidR="00EE5CCB">
        <w:rPr>
          <w:rFonts w:ascii="Arial" w:eastAsia="Arial" w:hAnsi="Arial" w:cs="Arial"/>
          <w:color w:val="000000"/>
          <w:sz w:val="20"/>
          <w:szCs w:val="20"/>
        </w:rPr>
        <w:t>sons with expertise in health, equity and disability, wellbe</w:t>
      </w:r>
      <w:r w:rsidR="005116A2">
        <w:rPr>
          <w:rFonts w:ascii="Arial" w:eastAsia="Arial" w:hAnsi="Arial" w:cs="Arial"/>
          <w:color w:val="000000"/>
          <w:sz w:val="20"/>
          <w:szCs w:val="20"/>
        </w:rPr>
        <w:t>ing and support and/or</w:t>
      </w:r>
      <w:r>
        <w:rPr>
          <w:rFonts w:ascii="Arial" w:eastAsia="Arial" w:hAnsi="Arial" w:cs="Arial"/>
          <w:color w:val="000000"/>
          <w:sz w:val="20"/>
          <w:szCs w:val="20"/>
        </w:rPr>
        <w:t xml:space="preserve"> one or more relevant faculty fitness to study officer/s, form a reasonable belief that the student’s reported behaviour impacts their fitness to study.</w:t>
      </w:r>
    </w:p>
    <w:p w14:paraId="25604DAE" w14:textId="77777777" w:rsidR="00982D06" w:rsidRDefault="00D96E42">
      <w:pPr>
        <w:spacing w:after="280" w:afterAutospacing="1"/>
        <w:rPr>
          <w:rFonts w:ascii="Arial" w:eastAsia="Arial" w:hAnsi="Arial" w:cs="Arial"/>
          <w:color w:val="000000"/>
          <w:sz w:val="20"/>
          <w:szCs w:val="20"/>
        </w:rPr>
      </w:pPr>
      <w:r>
        <w:rPr>
          <w:rFonts w:ascii="Arial" w:eastAsia="Arial" w:hAnsi="Arial" w:cs="Arial"/>
          <w:color w:val="000000"/>
          <w:sz w:val="20"/>
          <w:szCs w:val="20"/>
        </w:rPr>
        <w:t>5.5. The case coordinator must:</w:t>
      </w:r>
    </w:p>
    <w:p w14:paraId="7A90DD48" w14:textId="13F4E55A" w:rsidR="00982D06" w:rsidRDefault="00D96E42">
      <w:pPr>
        <w:pBdr>
          <w:left w:val="none" w:sz="0" w:space="22" w:color="auto"/>
        </w:pBdr>
        <w:spacing w:after="280" w:afterAutospacing="1"/>
        <w:rPr>
          <w:rFonts w:ascii="Arial" w:eastAsia="Arial" w:hAnsi="Arial" w:cs="Arial"/>
          <w:color w:val="000000"/>
          <w:sz w:val="20"/>
          <w:szCs w:val="20"/>
        </w:rPr>
      </w:pPr>
      <w:r>
        <w:rPr>
          <w:rFonts w:ascii="Arial" w:eastAsia="Arial" w:hAnsi="Arial" w:cs="Arial"/>
          <w:color w:val="000000"/>
          <w:sz w:val="20"/>
          <w:szCs w:val="20"/>
        </w:rPr>
        <w:lastRenderedPageBreak/>
        <w:t>(a) at the earliest opportunity</w:t>
      </w:r>
      <w:r w:rsidR="005116A2">
        <w:rPr>
          <w:rFonts w:ascii="Arial" w:eastAsia="Arial" w:hAnsi="Arial" w:cs="Arial"/>
          <w:color w:val="000000"/>
          <w:sz w:val="20"/>
          <w:szCs w:val="20"/>
        </w:rPr>
        <w:t xml:space="preserve">, and as </w:t>
      </w:r>
      <w:r w:rsidR="00723484">
        <w:rPr>
          <w:rFonts w:ascii="Arial" w:eastAsia="Arial" w:hAnsi="Arial" w:cs="Arial"/>
          <w:color w:val="000000"/>
          <w:sz w:val="20"/>
          <w:szCs w:val="20"/>
        </w:rPr>
        <w:t>the first step in this process,</w:t>
      </w:r>
      <w:r>
        <w:rPr>
          <w:rFonts w:ascii="Arial" w:eastAsia="Arial" w:hAnsi="Arial" w:cs="Arial"/>
          <w:color w:val="000000"/>
          <w:sz w:val="20"/>
          <w:szCs w:val="20"/>
        </w:rPr>
        <w:t xml:space="preserve"> discuss the concern with the student </w:t>
      </w:r>
      <w:r w:rsidR="00C40417">
        <w:rPr>
          <w:rFonts w:ascii="Arial" w:eastAsia="Arial" w:hAnsi="Arial" w:cs="Arial"/>
          <w:color w:val="000000"/>
          <w:sz w:val="20"/>
          <w:szCs w:val="20"/>
        </w:rPr>
        <w:t xml:space="preserve">who is the </w:t>
      </w:r>
      <w:r>
        <w:rPr>
          <w:rFonts w:ascii="Arial" w:eastAsia="Arial" w:hAnsi="Arial" w:cs="Arial"/>
          <w:color w:val="000000"/>
          <w:sz w:val="20"/>
          <w:szCs w:val="20"/>
        </w:rPr>
        <w:t>subject to the concern;</w:t>
      </w:r>
    </w:p>
    <w:p w14:paraId="101944A0" w14:textId="07572224" w:rsidR="003B3F30" w:rsidRDefault="003B3F30">
      <w:pPr>
        <w:pBdr>
          <w:left w:val="none" w:sz="0" w:space="22" w:color="auto"/>
        </w:pBdr>
        <w:spacing w:after="280" w:afterAutospacing="1"/>
        <w:rPr>
          <w:rFonts w:ascii="Arial" w:eastAsia="Arial" w:hAnsi="Arial" w:cs="Arial"/>
          <w:color w:val="000000"/>
          <w:sz w:val="20"/>
          <w:szCs w:val="20"/>
        </w:rPr>
      </w:pPr>
      <w:r w:rsidRPr="306142E4">
        <w:rPr>
          <w:rFonts w:ascii="Arial" w:eastAsia="Arial" w:hAnsi="Arial" w:cs="Arial"/>
          <w:color w:val="000000" w:themeColor="text1"/>
          <w:sz w:val="20"/>
          <w:szCs w:val="20"/>
        </w:rPr>
        <w:t xml:space="preserve">(b) </w:t>
      </w:r>
      <w:r w:rsidRPr="0021213B">
        <w:rPr>
          <w:rFonts w:ascii="Arial" w:eastAsia="Arial" w:hAnsi="Arial" w:cs="Arial"/>
          <w:sz w:val="20"/>
          <w:szCs w:val="20"/>
        </w:rPr>
        <w:t xml:space="preserve">identify any immediate risks associated with the student’s behaviour to the student and others and take appropriate steps to address the risk, which may involve </w:t>
      </w:r>
      <w:r w:rsidR="00D845E0" w:rsidRPr="0021213B">
        <w:rPr>
          <w:rFonts w:ascii="Arial" w:eastAsia="Arial" w:hAnsi="Arial" w:cs="Arial"/>
          <w:sz w:val="20"/>
          <w:szCs w:val="20"/>
        </w:rPr>
        <w:t xml:space="preserve">pausing a student’s participation in </w:t>
      </w:r>
      <w:r w:rsidR="001D344B" w:rsidRPr="0021213B">
        <w:rPr>
          <w:rFonts w:ascii="Arial" w:eastAsia="Arial" w:hAnsi="Arial" w:cs="Arial"/>
          <w:sz w:val="20"/>
          <w:szCs w:val="20"/>
        </w:rPr>
        <w:t>specified classes or professional placement</w:t>
      </w:r>
      <w:r w:rsidR="00886449" w:rsidRPr="0021213B">
        <w:rPr>
          <w:rFonts w:ascii="Arial" w:eastAsia="Arial" w:hAnsi="Arial" w:cs="Arial"/>
          <w:sz w:val="20"/>
          <w:szCs w:val="20"/>
        </w:rPr>
        <w:t>s,</w:t>
      </w:r>
      <w:r w:rsidR="004B621C" w:rsidRPr="0021213B">
        <w:rPr>
          <w:rFonts w:ascii="Arial" w:eastAsia="Arial" w:hAnsi="Arial" w:cs="Arial"/>
          <w:sz w:val="20"/>
          <w:szCs w:val="20"/>
        </w:rPr>
        <w:t xml:space="preserve"> and other University activities, r</w:t>
      </w:r>
      <w:r w:rsidR="00143311" w:rsidRPr="0021213B">
        <w:rPr>
          <w:rFonts w:ascii="Arial" w:eastAsia="Arial" w:hAnsi="Arial" w:cs="Arial"/>
          <w:sz w:val="20"/>
          <w:szCs w:val="20"/>
        </w:rPr>
        <w:t xml:space="preserve">estricting </w:t>
      </w:r>
      <w:r w:rsidRPr="0021213B">
        <w:rPr>
          <w:rFonts w:ascii="Arial" w:eastAsia="Arial" w:hAnsi="Arial" w:cs="Arial"/>
          <w:sz w:val="20"/>
          <w:szCs w:val="20"/>
        </w:rPr>
        <w:t>the student</w:t>
      </w:r>
      <w:r w:rsidR="00143311" w:rsidRPr="0021213B">
        <w:rPr>
          <w:rFonts w:ascii="Arial" w:eastAsia="Arial" w:hAnsi="Arial" w:cs="Arial"/>
          <w:sz w:val="20"/>
          <w:szCs w:val="20"/>
        </w:rPr>
        <w:t>’s</w:t>
      </w:r>
      <w:r w:rsidRPr="0021213B">
        <w:rPr>
          <w:rFonts w:ascii="Arial" w:eastAsia="Arial" w:hAnsi="Arial" w:cs="Arial"/>
          <w:sz w:val="20"/>
          <w:szCs w:val="20"/>
        </w:rPr>
        <w:t xml:space="preserve"> access to campus and/or University managed accommodation, pending the outcome of the fitness to study process;</w:t>
      </w:r>
    </w:p>
    <w:p w14:paraId="22860187" w14:textId="29996666" w:rsidR="00982D06" w:rsidRDefault="00D96E42">
      <w:pPr>
        <w:pBdr>
          <w:left w:val="none" w:sz="0" w:space="22" w:color="auto"/>
        </w:pBdr>
        <w:spacing w:after="280" w:afterAutospacing="1"/>
        <w:rPr>
          <w:rFonts w:ascii="Arial" w:eastAsia="Arial" w:hAnsi="Arial" w:cs="Arial"/>
          <w:color w:val="000000"/>
          <w:sz w:val="20"/>
          <w:szCs w:val="20"/>
        </w:rPr>
      </w:pPr>
      <w:r>
        <w:rPr>
          <w:rFonts w:ascii="Arial" w:eastAsia="Arial" w:hAnsi="Arial" w:cs="Arial"/>
          <w:color w:val="000000"/>
          <w:sz w:val="20"/>
          <w:szCs w:val="20"/>
        </w:rPr>
        <w:t>(</w:t>
      </w:r>
      <w:r w:rsidR="003B3F30">
        <w:rPr>
          <w:rFonts w:ascii="Arial" w:eastAsia="Arial" w:hAnsi="Arial" w:cs="Arial"/>
          <w:color w:val="000000"/>
          <w:sz w:val="20"/>
          <w:szCs w:val="20"/>
        </w:rPr>
        <w:t>c</w:t>
      </w:r>
      <w:r>
        <w:rPr>
          <w:rFonts w:ascii="Arial" w:eastAsia="Arial" w:hAnsi="Arial" w:cs="Arial"/>
          <w:color w:val="000000"/>
          <w:sz w:val="20"/>
          <w:szCs w:val="20"/>
        </w:rPr>
        <w:t>) consider the student’s perception of their behaviour, and the response of the student to any steps taken</w:t>
      </w:r>
      <w:r w:rsidR="003B3F30">
        <w:rPr>
          <w:rFonts w:ascii="Arial" w:eastAsia="Arial" w:hAnsi="Arial" w:cs="Arial"/>
          <w:color w:val="000000"/>
          <w:sz w:val="20"/>
          <w:szCs w:val="20"/>
        </w:rPr>
        <w:t>, or proposed to be taken,</w:t>
      </w:r>
      <w:r>
        <w:rPr>
          <w:rFonts w:ascii="Arial" w:eastAsia="Arial" w:hAnsi="Arial" w:cs="Arial"/>
          <w:color w:val="000000"/>
          <w:sz w:val="20"/>
          <w:szCs w:val="20"/>
        </w:rPr>
        <w:t xml:space="preserve"> by the University to manage the situation;</w:t>
      </w:r>
    </w:p>
    <w:p w14:paraId="09F560F4" w14:textId="18368D59" w:rsidR="00982D06" w:rsidRDefault="00D96E42">
      <w:pPr>
        <w:pBdr>
          <w:left w:val="none" w:sz="0" w:space="22" w:color="auto"/>
        </w:pBdr>
        <w:spacing w:after="280" w:afterAutospacing="1"/>
        <w:rPr>
          <w:rFonts w:ascii="Arial" w:eastAsia="Arial" w:hAnsi="Arial" w:cs="Arial"/>
          <w:color w:val="000000"/>
          <w:sz w:val="20"/>
          <w:szCs w:val="20"/>
        </w:rPr>
      </w:pPr>
      <w:r>
        <w:rPr>
          <w:rFonts w:ascii="Arial" w:eastAsia="Arial" w:hAnsi="Arial" w:cs="Arial"/>
          <w:color w:val="000000"/>
          <w:sz w:val="20"/>
          <w:szCs w:val="20"/>
        </w:rPr>
        <w:t>(</w:t>
      </w:r>
      <w:r w:rsidR="003B3F30">
        <w:rPr>
          <w:rFonts w:ascii="Arial" w:eastAsia="Arial" w:hAnsi="Arial" w:cs="Arial"/>
          <w:color w:val="000000"/>
          <w:sz w:val="20"/>
          <w:szCs w:val="20"/>
        </w:rPr>
        <w:t>d</w:t>
      </w:r>
      <w:r>
        <w:rPr>
          <w:rFonts w:ascii="Arial" w:eastAsia="Arial" w:hAnsi="Arial" w:cs="Arial"/>
          <w:color w:val="000000"/>
          <w:sz w:val="20"/>
          <w:szCs w:val="20"/>
        </w:rPr>
        <w:t xml:space="preserve">) identify existing support and adjustments that </w:t>
      </w:r>
      <w:r w:rsidR="003B3F30">
        <w:rPr>
          <w:rFonts w:ascii="Arial" w:eastAsia="Arial" w:hAnsi="Arial" w:cs="Arial"/>
          <w:color w:val="000000"/>
          <w:sz w:val="20"/>
          <w:szCs w:val="20"/>
        </w:rPr>
        <w:t xml:space="preserve">are being, or </w:t>
      </w:r>
      <w:r>
        <w:rPr>
          <w:rFonts w:ascii="Arial" w:eastAsia="Arial" w:hAnsi="Arial" w:cs="Arial"/>
          <w:color w:val="000000"/>
          <w:sz w:val="20"/>
          <w:szCs w:val="20"/>
        </w:rPr>
        <w:t>may be</w:t>
      </w:r>
      <w:r w:rsidR="003B3F30">
        <w:rPr>
          <w:rFonts w:ascii="Arial" w:eastAsia="Arial" w:hAnsi="Arial" w:cs="Arial"/>
          <w:color w:val="000000"/>
          <w:sz w:val="20"/>
          <w:szCs w:val="20"/>
        </w:rPr>
        <w:t>,</w:t>
      </w:r>
      <w:r>
        <w:rPr>
          <w:rFonts w:ascii="Arial" w:eastAsia="Arial" w:hAnsi="Arial" w:cs="Arial"/>
          <w:color w:val="000000"/>
          <w:sz w:val="20"/>
          <w:szCs w:val="20"/>
        </w:rPr>
        <w:t xml:space="preserve"> provided to the student in order to address the concern;</w:t>
      </w:r>
    </w:p>
    <w:p w14:paraId="25951A01" w14:textId="2029143A" w:rsidR="00982D06" w:rsidRDefault="00D96E42">
      <w:pPr>
        <w:pBdr>
          <w:left w:val="none" w:sz="0" w:space="22" w:color="auto"/>
        </w:pBdr>
        <w:spacing w:after="280" w:afterAutospacing="1"/>
        <w:rPr>
          <w:rFonts w:ascii="Arial" w:eastAsia="Arial" w:hAnsi="Arial" w:cs="Arial"/>
          <w:color w:val="000000"/>
          <w:sz w:val="20"/>
          <w:szCs w:val="20"/>
        </w:rPr>
      </w:pPr>
      <w:r>
        <w:rPr>
          <w:rFonts w:ascii="Arial" w:eastAsia="Arial" w:hAnsi="Arial" w:cs="Arial"/>
          <w:color w:val="000000"/>
          <w:sz w:val="20"/>
          <w:szCs w:val="20"/>
        </w:rPr>
        <w:t>(</w:t>
      </w:r>
      <w:r w:rsidR="003B3F30">
        <w:rPr>
          <w:rFonts w:ascii="Arial" w:eastAsia="Arial" w:hAnsi="Arial" w:cs="Arial"/>
          <w:color w:val="000000"/>
          <w:sz w:val="20"/>
          <w:szCs w:val="20"/>
        </w:rPr>
        <w:t>e</w:t>
      </w:r>
      <w:r>
        <w:rPr>
          <w:rFonts w:ascii="Arial" w:eastAsia="Arial" w:hAnsi="Arial" w:cs="Arial"/>
          <w:color w:val="000000"/>
          <w:sz w:val="20"/>
          <w:szCs w:val="20"/>
        </w:rPr>
        <w:t>) seek advice from the Fitness to Study Advisory Group and</w:t>
      </w:r>
      <w:r w:rsidR="003B3F30">
        <w:rPr>
          <w:rFonts w:ascii="Arial" w:eastAsia="Arial" w:hAnsi="Arial" w:cs="Arial"/>
          <w:color w:val="000000"/>
          <w:sz w:val="20"/>
          <w:szCs w:val="20"/>
        </w:rPr>
        <w:t>/or</w:t>
      </w:r>
      <w:r>
        <w:rPr>
          <w:rFonts w:ascii="Arial" w:eastAsia="Arial" w:hAnsi="Arial" w:cs="Arial"/>
          <w:color w:val="000000"/>
          <w:sz w:val="20"/>
          <w:szCs w:val="20"/>
        </w:rPr>
        <w:t xml:space="preserve"> one or more relevant faculty fitness to study officer/s;</w:t>
      </w:r>
    </w:p>
    <w:p w14:paraId="54D83730" w14:textId="5CEEADD6" w:rsidR="00982D06" w:rsidRDefault="00D96E42" w:rsidP="4CC26AB4">
      <w:pPr>
        <w:pBdr>
          <w:left w:val="none" w:sz="0" w:space="22" w:color="auto"/>
        </w:pBdr>
        <w:spacing w:after="280" w:afterAutospacing="1"/>
        <w:rPr>
          <w:rFonts w:ascii="Arial" w:eastAsia="Arial" w:hAnsi="Arial" w:cs="Arial"/>
          <w:color w:val="000000"/>
          <w:sz w:val="20"/>
          <w:szCs w:val="20"/>
        </w:rPr>
      </w:pPr>
      <w:r w:rsidRPr="4CC26AB4">
        <w:rPr>
          <w:rFonts w:ascii="Arial" w:eastAsia="Arial" w:hAnsi="Arial" w:cs="Arial"/>
          <w:color w:val="000000" w:themeColor="text1"/>
          <w:sz w:val="20"/>
          <w:szCs w:val="20"/>
        </w:rPr>
        <w:t>(f) where appropriate, request the student to provide further information, such as a health professional report</w:t>
      </w:r>
      <w:r w:rsidR="00C92D8E" w:rsidRPr="4CC26AB4">
        <w:rPr>
          <w:rFonts w:ascii="Arial" w:eastAsia="Arial" w:hAnsi="Arial" w:cs="Arial"/>
          <w:color w:val="000000" w:themeColor="text1"/>
          <w:sz w:val="20"/>
          <w:szCs w:val="20"/>
        </w:rPr>
        <w:t>,</w:t>
      </w:r>
      <w:r w:rsidR="0039615D" w:rsidRPr="4CC26AB4">
        <w:rPr>
          <w:rFonts w:ascii="Arial" w:eastAsia="Arial" w:hAnsi="Arial" w:cs="Arial"/>
          <w:color w:val="000000" w:themeColor="text1"/>
          <w:sz w:val="20"/>
          <w:szCs w:val="20"/>
        </w:rPr>
        <w:t xml:space="preserve"> a </w:t>
      </w:r>
      <w:r w:rsidR="00C92D8E" w:rsidRPr="4CC26AB4">
        <w:rPr>
          <w:rFonts w:ascii="Arial" w:eastAsia="Arial" w:hAnsi="Arial" w:cs="Arial"/>
          <w:color w:val="000000" w:themeColor="text1"/>
          <w:sz w:val="20"/>
          <w:szCs w:val="20"/>
        </w:rPr>
        <w:t xml:space="preserve">safety </w:t>
      </w:r>
      <w:r w:rsidR="2FC1D0B0" w:rsidRPr="4CC26AB4">
        <w:rPr>
          <w:rFonts w:ascii="Arial" w:eastAsia="Arial" w:hAnsi="Arial" w:cs="Arial"/>
          <w:color w:val="000000" w:themeColor="text1"/>
          <w:sz w:val="20"/>
          <w:szCs w:val="20"/>
        </w:rPr>
        <w:t xml:space="preserve">management or care </w:t>
      </w:r>
      <w:r w:rsidR="00C92D8E" w:rsidRPr="4CC26AB4">
        <w:rPr>
          <w:rFonts w:ascii="Arial" w:eastAsia="Arial" w:hAnsi="Arial" w:cs="Arial"/>
          <w:color w:val="000000" w:themeColor="text1"/>
          <w:sz w:val="20"/>
          <w:szCs w:val="20"/>
        </w:rPr>
        <w:t>plan</w:t>
      </w:r>
      <w:r w:rsidR="0055522C" w:rsidRPr="4CC26AB4">
        <w:rPr>
          <w:rFonts w:ascii="Arial" w:eastAsia="Arial" w:hAnsi="Arial" w:cs="Arial"/>
          <w:color w:val="000000" w:themeColor="text1"/>
          <w:sz w:val="20"/>
          <w:szCs w:val="20"/>
        </w:rPr>
        <w:t>,</w:t>
      </w:r>
      <w:r w:rsidRPr="4CC26AB4">
        <w:rPr>
          <w:rFonts w:ascii="Arial" w:eastAsia="Arial" w:hAnsi="Arial" w:cs="Arial"/>
          <w:color w:val="000000" w:themeColor="text1"/>
          <w:sz w:val="20"/>
          <w:szCs w:val="20"/>
        </w:rPr>
        <w:t xml:space="preserve"> or a proposal on how to address the issue;</w:t>
      </w:r>
    </w:p>
    <w:p w14:paraId="04CCEDE1" w14:textId="6155D488" w:rsidR="00311094" w:rsidRDefault="00D96E42" w:rsidP="00311094">
      <w:pPr>
        <w:pBdr>
          <w:left w:val="none" w:sz="0" w:space="22" w:color="auto"/>
        </w:pBdr>
        <w:spacing w:after="280" w:afterAutospacing="1"/>
        <w:rPr>
          <w:rFonts w:ascii="Arial" w:eastAsia="Arial" w:hAnsi="Arial" w:cs="Arial"/>
          <w:color w:val="000000"/>
          <w:sz w:val="20"/>
          <w:szCs w:val="20"/>
        </w:rPr>
      </w:pPr>
      <w:r>
        <w:rPr>
          <w:rFonts w:ascii="Arial" w:eastAsia="Arial" w:hAnsi="Arial" w:cs="Arial"/>
          <w:color w:val="000000"/>
          <w:sz w:val="20"/>
          <w:szCs w:val="20"/>
        </w:rPr>
        <w:t xml:space="preserve">(g) </w:t>
      </w:r>
      <w:r w:rsidR="00311094">
        <w:rPr>
          <w:rFonts w:ascii="Arial" w:eastAsia="Arial" w:hAnsi="Arial" w:cs="Arial"/>
          <w:color w:val="000000"/>
          <w:sz w:val="20"/>
          <w:szCs w:val="20"/>
        </w:rPr>
        <w:t xml:space="preserve">notify the </w:t>
      </w:r>
      <w:r w:rsidR="00311094" w:rsidRPr="0021213B">
        <w:rPr>
          <w:rFonts w:ascii="Arial" w:eastAsia="Arial" w:hAnsi="Arial" w:cs="Arial"/>
          <w:sz w:val="20"/>
          <w:szCs w:val="20"/>
        </w:rPr>
        <w:t>relevant dean of the matter where the conduct is associated with teaching and learning activi</w:t>
      </w:r>
      <w:r w:rsidR="00CC406A" w:rsidRPr="0021213B">
        <w:rPr>
          <w:rFonts w:ascii="Arial" w:eastAsia="Arial" w:hAnsi="Arial" w:cs="Arial"/>
          <w:sz w:val="20"/>
          <w:szCs w:val="20"/>
        </w:rPr>
        <w:t>ties</w:t>
      </w:r>
      <w:r w:rsidR="00311094" w:rsidRPr="0021213B">
        <w:rPr>
          <w:rFonts w:ascii="Arial" w:eastAsia="Arial" w:hAnsi="Arial" w:cs="Arial"/>
          <w:sz w:val="20"/>
          <w:szCs w:val="20"/>
        </w:rPr>
        <w:t>.</w:t>
      </w:r>
    </w:p>
    <w:p w14:paraId="348D4A60" w14:textId="0A8DA651" w:rsidR="00982D06" w:rsidRDefault="00D96E42" w:rsidP="00311094">
      <w:pPr>
        <w:pBdr>
          <w:left w:val="none" w:sz="0" w:space="22" w:color="auto"/>
        </w:pBdr>
        <w:spacing w:after="280" w:afterAutospacing="1"/>
        <w:rPr>
          <w:rFonts w:ascii="Arial" w:eastAsia="Arial" w:hAnsi="Arial" w:cs="Arial"/>
          <w:color w:val="000000"/>
          <w:sz w:val="20"/>
          <w:szCs w:val="20"/>
        </w:rPr>
      </w:pPr>
      <w:r>
        <w:rPr>
          <w:rFonts w:ascii="Arial" w:eastAsia="Arial" w:hAnsi="Arial" w:cs="Arial"/>
          <w:color w:val="000000"/>
          <w:sz w:val="20"/>
          <w:szCs w:val="20"/>
        </w:rPr>
        <w:t xml:space="preserve">5.6. Where there is a risk to the student’s fitness to study, the case coordinator, with support and advice from the </w:t>
      </w:r>
      <w:r w:rsidR="00C60208">
        <w:rPr>
          <w:rFonts w:ascii="Arial" w:eastAsia="Arial" w:hAnsi="Arial" w:cs="Arial"/>
          <w:color w:val="000000"/>
          <w:sz w:val="20"/>
          <w:szCs w:val="20"/>
        </w:rPr>
        <w:t>Dean or Academic Registrar</w:t>
      </w:r>
      <w:r w:rsidR="006A592A">
        <w:rPr>
          <w:rFonts w:ascii="Arial" w:eastAsia="Arial" w:hAnsi="Arial" w:cs="Arial"/>
          <w:color w:val="000000"/>
          <w:sz w:val="20"/>
          <w:szCs w:val="20"/>
        </w:rPr>
        <w:t xml:space="preserve">, </w:t>
      </w:r>
      <w:r>
        <w:rPr>
          <w:rFonts w:ascii="Arial" w:eastAsia="Arial" w:hAnsi="Arial" w:cs="Arial"/>
          <w:color w:val="000000"/>
          <w:sz w:val="20"/>
          <w:szCs w:val="20"/>
        </w:rPr>
        <w:t>Fitness to Study Advisory Group and</w:t>
      </w:r>
      <w:r w:rsidR="006A592A">
        <w:rPr>
          <w:rFonts w:ascii="Arial" w:eastAsia="Arial" w:hAnsi="Arial" w:cs="Arial"/>
          <w:color w:val="000000"/>
          <w:sz w:val="20"/>
          <w:szCs w:val="20"/>
        </w:rPr>
        <w:t>/or</w:t>
      </w:r>
      <w:r>
        <w:rPr>
          <w:rFonts w:ascii="Arial" w:eastAsia="Arial" w:hAnsi="Arial" w:cs="Arial"/>
          <w:color w:val="000000"/>
          <w:sz w:val="20"/>
          <w:szCs w:val="20"/>
        </w:rPr>
        <w:t xml:space="preserve"> one or more relevant faculty fitness to study officer/s, may:</w:t>
      </w:r>
    </w:p>
    <w:p w14:paraId="2B6B2469" w14:textId="77777777" w:rsidR="00982D06" w:rsidRDefault="00D96E42">
      <w:pPr>
        <w:pBdr>
          <w:left w:val="none" w:sz="0" w:space="22" w:color="auto"/>
        </w:pBdr>
        <w:spacing w:after="280" w:afterAutospacing="1"/>
        <w:rPr>
          <w:rFonts w:ascii="Arial" w:eastAsia="Arial" w:hAnsi="Arial" w:cs="Arial"/>
          <w:color w:val="000000"/>
          <w:sz w:val="20"/>
          <w:szCs w:val="20"/>
        </w:rPr>
      </w:pPr>
      <w:r>
        <w:rPr>
          <w:rFonts w:ascii="Arial" w:eastAsia="Arial" w:hAnsi="Arial" w:cs="Arial"/>
          <w:color w:val="000000"/>
          <w:sz w:val="20"/>
          <w:szCs w:val="20"/>
        </w:rPr>
        <w:t>(a) take no further action;</w:t>
      </w:r>
    </w:p>
    <w:p w14:paraId="48609A53" w14:textId="77777777" w:rsidR="00982D06" w:rsidRDefault="00D96E42">
      <w:pPr>
        <w:pBdr>
          <w:left w:val="none" w:sz="0" w:space="22" w:color="auto"/>
        </w:pBdr>
        <w:spacing w:after="280" w:afterAutospacing="1"/>
        <w:rPr>
          <w:rFonts w:ascii="Arial" w:eastAsia="Arial" w:hAnsi="Arial" w:cs="Arial"/>
          <w:color w:val="000000"/>
          <w:sz w:val="20"/>
          <w:szCs w:val="20"/>
        </w:rPr>
      </w:pPr>
      <w:r>
        <w:rPr>
          <w:rFonts w:ascii="Arial" w:eastAsia="Arial" w:hAnsi="Arial" w:cs="Arial"/>
          <w:color w:val="000000"/>
          <w:sz w:val="20"/>
          <w:szCs w:val="20"/>
        </w:rPr>
        <w:t>(b) refer the matter to be managed according to another policy or process;</w:t>
      </w:r>
    </w:p>
    <w:p w14:paraId="3D0D3540" w14:textId="0C0131AD" w:rsidR="00982D06" w:rsidRDefault="00D96E42" w:rsidP="4CC26AB4">
      <w:pPr>
        <w:pBdr>
          <w:left w:val="none" w:sz="0" w:space="22" w:color="auto"/>
        </w:pBdr>
        <w:spacing w:after="280" w:afterAutospacing="1"/>
        <w:rPr>
          <w:rFonts w:ascii="Arial" w:eastAsia="Arial" w:hAnsi="Arial" w:cs="Arial"/>
          <w:color w:val="000000"/>
          <w:sz w:val="20"/>
          <w:szCs w:val="20"/>
        </w:rPr>
      </w:pPr>
      <w:r w:rsidRPr="4CC26AB4">
        <w:rPr>
          <w:rFonts w:ascii="Arial" w:eastAsia="Arial" w:hAnsi="Arial" w:cs="Arial"/>
          <w:color w:val="000000" w:themeColor="text1"/>
          <w:sz w:val="20"/>
          <w:szCs w:val="20"/>
        </w:rPr>
        <w:t>(c) refer the student to an appropriate support, counselling or health service</w:t>
      </w:r>
      <w:r w:rsidR="004E23DC" w:rsidRPr="4CC26AB4">
        <w:rPr>
          <w:rFonts w:ascii="Arial" w:eastAsia="Arial" w:hAnsi="Arial" w:cs="Arial"/>
          <w:color w:val="000000" w:themeColor="text1"/>
          <w:sz w:val="20"/>
          <w:szCs w:val="20"/>
        </w:rPr>
        <w:t xml:space="preserve">, after which ongoing wellbeing assessments may be </w:t>
      </w:r>
      <w:r w:rsidR="007935C4" w:rsidRPr="4CC26AB4">
        <w:rPr>
          <w:rFonts w:ascii="Arial" w:eastAsia="Arial" w:hAnsi="Arial" w:cs="Arial"/>
          <w:color w:val="000000" w:themeColor="text1"/>
          <w:sz w:val="20"/>
          <w:szCs w:val="20"/>
        </w:rPr>
        <w:t>required</w:t>
      </w:r>
      <w:r w:rsidRPr="4CC26AB4">
        <w:rPr>
          <w:rFonts w:ascii="Arial" w:eastAsia="Arial" w:hAnsi="Arial" w:cs="Arial"/>
          <w:color w:val="000000" w:themeColor="text1"/>
          <w:sz w:val="20"/>
          <w:szCs w:val="20"/>
        </w:rPr>
        <w:t>;</w:t>
      </w:r>
    </w:p>
    <w:p w14:paraId="3EC09C96" w14:textId="77777777" w:rsidR="00982D06" w:rsidRDefault="00D96E42">
      <w:pPr>
        <w:pBdr>
          <w:left w:val="none" w:sz="0" w:space="22" w:color="auto"/>
        </w:pBdr>
        <w:spacing w:after="280" w:afterAutospacing="1"/>
        <w:rPr>
          <w:rFonts w:ascii="Arial" w:eastAsia="Arial" w:hAnsi="Arial" w:cs="Arial"/>
          <w:color w:val="000000"/>
          <w:sz w:val="20"/>
          <w:szCs w:val="20"/>
        </w:rPr>
      </w:pPr>
      <w:r>
        <w:rPr>
          <w:rFonts w:ascii="Arial" w:eastAsia="Arial" w:hAnsi="Arial" w:cs="Arial"/>
          <w:color w:val="000000"/>
          <w:sz w:val="20"/>
          <w:szCs w:val="20"/>
        </w:rPr>
        <w:t>(d) coordinate services to be provided to the student on the advice of the Fitness to Study Advisory Group; and /or</w:t>
      </w:r>
    </w:p>
    <w:p w14:paraId="7E43F324" w14:textId="6564F962" w:rsidR="00982D06" w:rsidRDefault="00D96E42">
      <w:pPr>
        <w:pBdr>
          <w:left w:val="none" w:sz="0" w:space="22" w:color="auto"/>
        </w:pBdr>
        <w:spacing w:after="280" w:afterAutospacing="1"/>
        <w:rPr>
          <w:rFonts w:ascii="Arial" w:eastAsia="Arial" w:hAnsi="Arial" w:cs="Arial"/>
          <w:color w:val="000000"/>
          <w:sz w:val="20"/>
          <w:szCs w:val="20"/>
        </w:rPr>
      </w:pPr>
      <w:r>
        <w:rPr>
          <w:rFonts w:ascii="Arial" w:eastAsia="Arial" w:hAnsi="Arial" w:cs="Arial"/>
          <w:color w:val="000000"/>
          <w:sz w:val="20"/>
          <w:szCs w:val="20"/>
        </w:rPr>
        <w:t>(e) recommend to the student an adjustment of their study load, which may include taking leave from study.</w:t>
      </w:r>
    </w:p>
    <w:p w14:paraId="6DC00E06" w14:textId="2EB97273" w:rsidR="001A6B80" w:rsidRDefault="001A6B80">
      <w:pPr>
        <w:pBdr>
          <w:left w:val="none" w:sz="0" w:space="22" w:color="auto"/>
        </w:pBdr>
        <w:spacing w:after="280" w:afterAutospacing="1"/>
        <w:rPr>
          <w:rFonts w:ascii="Arial" w:eastAsia="Arial" w:hAnsi="Arial" w:cs="Arial"/>
          <w:color w:val="000000"/>
          <w:sz w:val="20"/>
          <w:szCs w:val="20"/>
        </w:rPr>
      </w:pPr>
      <w:r w:rsidRPr="306142E4">
        <w:rPr>
          <w:rFonts w:ascii="Arial" w:eastAsia="Arial" w:hAnsi="Arial" w:cs="Arial"/>
          <w:color w:val="000000" w:themeColor="text1"/>
          <w:sz w:val="20"/>
          <w:szCs w:val="20"/>
        </w:rPr>
        <w:t xml:space="preserve">(f) recommend to the student that </w:t>
      </w:r>
      <w:r w:rsidR="00582859" w:rsidRPr="001442A0">
        <w:rPr>
          <w:rFonts w:ascii="Arial" w:eastAsia="Arial" w:hAnsi="Arial" w:cs="Arial"/>
          <w:color w:val="000000" w:themeColor="text1"/>
          <w:sz w:val="20"/>
          <w:szCs w:val="20"/>
        </w:rPr>
        <w:t>where reasonable adjustments can be made to support flexible learning</w:t>
      </w:r>
      <w:r w:rsidR="006202A8">
        <w:rPr>
          <w:rFonts w:ascii="Arial" w:eastAsia="Arial" w:hAnsi="Arial" w:cs="Arial"/>
          <w:color w:val="000000" w:themeColor="text1"/>
          <w:sz w:val="20"/>
          <w:szCs w:val="20"/>
        </w:rPr>
        <w:t>,</w:t>
      </w:r>
      <w:r w:rsidR="00582859" w:rsidRPr="001442A0">
        <w:rPr>
          <w:rFonts w:ascii="Arial" w:eastAsia="Arial" w:hAnsi="Arial" w:cs="Arial"/>
          <w:color w:val="000000" w:themeColor="text1"/>
          <w:sz w:val="20"/>
          <w:szCs w:val="20"/>
        </w:rPr>
        <w:t xml:space="preserve"> including adjustments to attendance requirements, </w:t>
      </w:r>
      <w:r w:rsidRPr="306142E4">
        <w:rPr>
          <w:rFonts w:ascii="Arial" w:eastAsia="Arial" w:hAnsi="Arial" w:cs="Arial"/>
          <w:color w:val="000000" w:themeColor="text1"/>
          <w:sz w:val="20"/>
          <w:szCs w:val="20"/>
        </w:rPr>
        <w:t xml:space="preserve">they </w:t>
      </w:r>
      <w:r w:rsidR="00BD0024" w:rsidRPr="306142E4">
        <w:rPr>
          <w:rFonts w:ascii="Arial" w:eastAsia="Arial" w:hAnsi="Arial" w:cs="Arial"/>
          <w:color w:val="000000" w:themeColor="text1"/>
          <w:sz w:val="20"/>
          <w:szCs w:val="20"/>
        </w:rPr>
        <w:t xml:space="preserve">reduce the amount of time they attend the </w:t>
      </w:r>
      <w:r w:rsidR="007A5420" w:rsidRPr="306142E4">
        <w:rPr>
          <w:rFonts w:ascii="Arial" w:eastAsia="Arial" w:hAnsi="Arial" w:cs="Arial"/>
          <w:color w:val="000000" w:themeColor="text1"/>
          <w:sz w:val="20"/>
          <w:szCs w:val="20"/>
        </w:rPr>
        <w:t>University in person</w:t>
      </w:r>
      <w:r w:rsidR="0071796C">
        <w:rPr>
          <w:rFonts w:ascii="Arial" w:eastAsia="Arial" w:hAnsi="Arial" w:cs="Arial"/>
          <w:color w:val="000000" w:themeColor="text1"/>
          <w:sz w:val="20"/>
          <w:szCs w:val="20"/>
        </w:rPr>
        <w:t>.</w:t>
      </w:r>
    </w:p>
    <w:p w14:paraId="0FD3A551" w14:textId="77777777" w:rsidR="00982D06" w:rsidRDefault="00D96E42">
      <w:pPr>
        <w:spacing w:after="280" w:afterAutospacing="1"/>
        <w:rPr>
          <w:rFonts w:ascii="Arial" w:eastAsia="Arial" w:hAnsi="Arial" w:cs="Arial"/>
          <w:color w:val="000000"/>
          <w:sz w:val="20"/>
          <w:szCs w:val="20"/>
        </w:rPr>
      </w:pPr>
      <w:r>
        <w:rPr>
          <w:rFonts w:ascii="Arial" w:eastAsia="Arial" w:hAnsi="Arial" w:cs="Arial"/>
          <w:color w:val="000000"/>
          <w:sz w:val="20"/>
          <w:szCs w:val="20"/>
        </w:rPr>
        <w:t>5.7. If the concern is not resolved or persists, the case coordinator must refer the matter, along with supporting documents, to the Academic Registrar.</w:t>
      </w:r>
    </w:p>
    <w:p w14:paraId="4579C401" w14:textId="77777777" w:rsidR="00982D06" w:rsidRDefault="00D96E42">
      <w:pPr>
        <w:pStyle w:val="Heading3"/>
      </w:pPr>
      <w:r>
        <w:t>Fitness to Study Committee</w:t>
      </w:r>
    </w:p>
    <w:p w14:paraId="6B614150" w14:textId="7940A622" w:rsidR="00982D06" w:rsidRDefault="00D96E42">
      <w:pPr>
        <w:spacing w:after="280" w:afterAutospacing="1"/>
        <w:rPr>
          <w:rFonts w:ascii="Arial" w:eastAsia="Arial" w:hAnsi="Arial" w:cs="Arial"/>
          <w:color w:val="000000"/>
          <w:sz w:val="20"/>
          <w:szCs w:val="20"/>
        </w:rPr>
      </w:pPr>
      <w:r>
        <w:rPr>
          <w:rFonts w:ascii="Arial" w:eastAsia="Arial" w:hAnsi="Arial" w:cs="Arial"/>
          <w:color w:val="000000"/>
          <w:sz w:val="20"/>
          <w:szCs w:val="20"/>
        </w:rPr>
        <w:lastRenderedPageBreak/>
        <w:t xml:space="preserve">5.8.  Subject to </w:t>
      </w:r>
      <w:r w:rsidR="007935C4">
        <w:rPr>
          <w:rFonts w:ascii="Arial" w:eastAsia="Arial" w:hAnsi="Arial" w:cs="Arial"/>
          <w:color w:val="000000"/>
          <w:sz w:val="20"/>
          <w:szCs w:val="20"/>
        </w:rPr>
        <w:t xml:space="preserve">referral </w:t>
      </w:r>
      <w:r w:rsidR="009470C3">
        <w:rPr>
          <w:rFonts w:ascii="Arial" w:eastAsia="Arial" w:hAnsi="Arial" w:cs="Arial"/>
          <w:color w:val="000000"/>
          <w:sz w:val="20"/>
          <w:szCs w:val="20"/>
        </w:rPr>
        <w:t>from the case coordinator under 5.7 and in accordance with s</w:t>
      </w:r>
      <w:r>
        <w:rPr>
          <w:rFonts w:ascii="Arial" w:eastAsia="Arial" w:hAnsi="Arial" w:cs="Arial"/>
          <w:color w:val="000000"/>
          <w:sz w:val="20"/>
          <w:szCs w:val="20"/>
        </w:rPr>
        <w:t>ections 5.9 - 5.11, the Academic Registrar may establish a Fitness to Study Committee to advise the Academic Registrar on the matter.</w:t>
      </w:r>
    </w:p>
    <w:p w14:paraId="0D1389EF" w14:textId="77777777" w:rsidR="00982D06" w:rsidRDefault="00D96E42">
      <w:pPr>
        <w:spacing w:after="280" w:afterAutospacing="1"/>
        <w:rPr>
          <w:rFonts w:ascii="Arial" w:eastAsia="Arial" w:hAnsi="Arial" w:cs="Arial"/>
          <w:color w:val="000000"/>
          <w:sz w:val="20"/>
          <w:szCs w:val="20"/>
        </w:rPr>
      </w:pPr>
      <w:r>
        <w:rPr>
          <w:rFonts w:ascii="Arial" w:eastAsia="Arial" w:hAnsi="Arial" w:cs="Arial"/>
          <w:color w:val="000000"/>
          <w:sz w:val="20"/>
          <w:szCs w:val="20"/>
        </w:rPr>
        <w:t>5.9. The Academic Registrar must not establish a Fitness to Study Committee unless the Academic Registrar is satisfied that:</w:t>
      </w:r>
    </w:p>
    <w:p w14:paraId="419F50A5" w14:textId="77777777" w:rsidR="00982D06" w:rsidRDefault="00D96E42">
      <w:pPr>
        <w:pBdr>
          <w:left w:val="none" w:sz="0" w:space="22" w:color="auto"/>
        </w:pBdr>
        <w:spacing w:after="280" w:afterAutospacing="1"/>
        <w:rPr>
          <w:rFonts w:ascii="Arial" w:eastAsia="Arial" w:hAnsi="Arial" w:cs="Arial"/>
          <w:color w:val="000000"/>
          <w:sz w:val="20"/>
          <w:szCs w:val="20"/>
        </w:rPr>
      </w:pPr>
      <w:r>
        <w:rPr>
          <w:rFonts w:ascii="Arial" w:eastAsia="Arial" w:hAnsi="Arial" w:cs="Arial"/>
          <w:color w:val="000000"/>
          <w:sz w:val="20"/>
          <w:szCs w:val="20"/>
        </w:rPr>
        <w:t>(a) the student has been given an opportunity to respond to concerns regarding their fitness to study;</w:t>
      </w:r>
    </w:p>
    <w:p w14:paraId="17E593F9" w14:textId="77777777" w:rsidR="00982D06" w:rsidRDefault="00D96E42">
      <w:pPr>
        <w:pBdr>
          <w:left w:val="none" w:sz="0" w:space="22" w:color="auto"/>
        </w:pBdr>
        <w:spacing w:after="280" w:afterAutospacing="1"/>
        <w:rPr>
          <w:rFonts w:ascii="Arial" w:eastAsia="Arial" w:hAnsi="Arial" w:cs="Arial"/>
          <w:color w:val="000000"/>
          <w:sz w:val="20"/>
          <w:szCs w:val="20"/>
        </w:rPr>
      </w:pPr>
      <w:r>
        <w:rPr>
          <w:rFonts w:ascii="Arial" w:eastAsia="Arial" w:hAnsi="Arial" w:cs="Arial"/>
          <w:color w:val="000000"/>
          <w:sz w:val="20"/>
          <w:szCs w:val="20"/>
        </w:rPr>
        <w:t>(b) where necessary, adjustments have been identified in accordance with section 40(3) of the Equal Opportunity Act 2010; and</w:t>
      </w:r>
    </w:p>
    <w:p w14:paraId="5D6A7C9D" w14:textId="77777777" w:rsidR="00982D06" w:rsidRDefault="00D96E42">
      <w:pPr>
        <w:pBdr>
          <w:left w:val="none" w:sz="0" w:space="22" w:color="auto"/>
        </w:pBdr>
        <w:spacing w:after="280" w:afterAutospacing="1"/>
        <w:rPr>
          <w:rFonts w:ascii="Arial" w:eastAsia="Arial" w:hAnsi="Arial" w:cs="Arial"/>
          <w:color w:val="000000"/>
          <w:sz w:val="20"/>
          <w:szCs w:val="20"/>
        </w:rPr>
      </w:pPr>
      <w:r>
        <w:rPr>
          <w:rFonts w:ascii="Arial" w:eastAsia="Arial" w:hAnsi="Arial" w:cs="Arial"/>
          <w:color w:val="000000"/>
          <w:sz w:val="20"/>
          <w:szCs w:val="20"/>
        </w:rPr>
        <w:t>(c) the concerns regarding the student’s fitness to study are not resolved or persist.</w:t>
      </w:r>
    </w:p>
    <w:p w14:paraId="593B85F9" w14:textId="77777777" w:rsidR="00982D06" w:rsidRDefault="00D96E42">
      <w:pPr>
        <w:spacing w:after="280" w:afterAutospacing="1"/>
        <w:rPr>
          <w:rFonts w:ascii="Arial" w:eastAsia="Arial" w:hAnsi="Arial" w:cs="Arial"/>
          <w:color w:val="000000"/>
          <w:sz w:val="20"/>
          <w:szCs w:val="20"/>
        </w:rPr>
      </w:pPr>
      <w:r>
        <w:rPr>
          <w:rFonts w:ascii="Arial" w:eastAsia="Arial" w:hAnsi="Arial" w:cs="Arial"/>
          <w:color w:val="000000"/>
          <w:sz w:val="20"/>
          <w:szCs w:val="20"/>
        </w:rPr>
        <w:t>5.10. A Fitness to Study Committee must, whenever practicable, include —</w:t>
      </w:r>
    </w:p>
    <w:p w14:paraId="5B8F93B9" w14:textId="77777777" w:rsidR="00982D06" w:rsidRDefault="00D96E42">
      <w:pPr>
        <w:pBdr>
          <w:left w:val="none" w:sz="0" w:space="22" w:color="auto"/>
        </w:pBdr>
        <w:spacing w:after="280" w:afterAutospacing="1"/>
        <w:rPr>
          <w:rFonts w:ascii="Arial" w:eastAsia="Arial" w:hAnsi="Arial" w:cs="Arial"/>
          <w:color w:val="000000"/>
          <w:sz w:val="20"/>
          <w:szCs w:val="20"/>
        </w:rPr>
      </w:pPr>
      <w:r>
        <w:rPr>
          <w:rFonts w:ascii="Arial" w:eastAsia="Arial" w:hAnsi="Arial" w:cs="Arial"/>
          <w:color w:val="000000"/>
          <w:sz w:val="20"/>
          <w:szCs w:val="20"/>
        </w:rPr>
        <w:t>(a) one relevant fitness to study officer; or</w:t>
      </w:r>
    </w:p>
    <w:p w14:paraId="2E22FA1F" w14:textId="77777777" w:rsidR="00982D06" w:rsidRDefault="00D96E42">
      <w:pPr>
        <w:pBdr>
          <w:left w:val="none" w:sz="0" w:space="22" w:color="auto"/>
        </w:pBdr>
        <w:spacing w:after="280" w:afterAutospacing="1"/>
        <w:rPr>
          <w:rFonts w:ascii="Arial" w:eastAsia="Arial" w:hAnsi="Arial" w:cs="Arial"/>
          <w:color w:val="000000"/>
          <w:sz w:val="20"/>
          <w:szCs w:val="20"/>
        </w:rPr>
      </w:pPr>
      <w:r>
        <w:rPr>
          <w:rFonts w:ascii="Arial" w:eastAsia="Arial" w:hAnsi="Arial" w:cs="Arial"/>
          <w:color w:val="000000"/>
          <w:sz w:val="20"/>
          <w:szCs w:val="20"/>
        </w:rPr>
        <w:t>(b) one other senior member of academic staff; or</w:t>
      </w:r>
    </w:p>
    <w:p w14:paraId="0EE24FE8" w14:textId="77777777" w:rsidR="00982D06" w:rsidRDefault="00D96E42">
      <w:pPr>
        <w:pBdr>
          <w:left w:val="none" w:sz="0" w:space="22" w:color="auto"/>
        </w:pBdr>
        <w:spacing w:after="280" w:afterAutospacing="1"/>
        <w:rPr>
          <w:rFonts w:ascii="Arial" w:eastAsia="Arial" w:hAnsi="Arial" w:cs="Arial"/>
          <w:color w:val="000000"/>
          <w:sz w:val="20"/>
          <w:szCs w:val="20"/>
        </w:rPr>
      </w:pPr>
      <w:r>
        <w:rPr>
          <w:rFonts w:ascii="Arial" w:eastAsia="Arial" w:hAnsi="Arial" w:cs="Arial"/>
          <w:color w:val="000000"/>
          <w:sz w:val="20"/>
          <w:szCs w:val="20"/>
        </w:rPr>
        <w:t>(c) a staff member from an appropriate counselling, wellbeing or health service; and</w:t>
      </w:r>
    </w:p>
    <w:p w14:paraId="32720B8C" w14:textId="77777777" w:rsidR="00AE1AA3" w:rsidRDefault="00D96E42">
      <w:pPr>
        <w:pBdr>
          <w:left w:val="none" w:sz="0" w:space="22" w:color="auto"/>
        </w:pBdr>
        <w:spacing w:after="280" w:afterAutospacing="1"/>
        <w:rPr>
          <w:rFonts w:ascii="Arial" w:eastAsia="Arial" w:hAnsi="Arial" w:cs="Arial"/>
          <w:color w:val="000000"/>
          <w:sz w:val="20"/>
          <w:szCs w:val="20"/>
        </w:rPr>
      </w:pPr>
      <w:r>
        <w:rPr>
          <w:rFonts w:ascii="Arial" w:eastAsia="Arial" w:hAnsi="Arial" w:cs="Arial"/>
          <w:color w:val="000000"/>
          <w:sz w:val="20"/>
          <w:szCs w:val="20"/>
        </w:rPr>
        <w:t>(d) two additional members, including at least one health professional who is from the Faculty of Medicine, Dentistry and Health Sciences, with skills or knowledge deemed appropriate by a relevant health professional</w:t>
      </w:r>
      <w:r w:rsidR="00AE1AA3">
        <w:rPr>
          <w:rFonts w:ascii="Arial" w:eastAsia="Arial" w:hAnsi="Arial" w:cs="Arial"/>
          <w:color w:val="000000"/>
          <w:sz w:val="20"/>
          <w:szCs w:val="20"/>
        </w:rPr>
        <w:t>; and</w:t>
      </w:r>
    </w:p>
    <w:p w14:paraId="3B65CE0A" w14:textId="77777777" w:rsidR="00982D06" w:rsidRDefault="00D96E42">
      <w:pPr>
        <w:spacing w:after="280" w:afterAutospacing="1"/>
        <w:rPr>
          <w:rFonts w:ascii="Arial" w:eastAsia="Arial" w:hAnsi="Arial" w:cs="Arial"/>
          <w:color w:val="000000"/>
          <w:sz w:val="20"/>
          <w:szCs w:val="20"/>
        </w:rPr>
      </w:pPr>
      <w:r>
        <w:rPr>
          <w:rFonts w:ascii="Arial" w:eastAsia="Arial" w:hAnsi="Arial" w:cs="Arial"/>
          <w:color w:val="000000"/>
          <w:sz w:val="20"/>
          <w:szCs w:val="20"/>
        </w:rPr>
        <w:t>5.11. A Fitness to Study Committee must not include —</w:t>
      </w:r>
    </w:p>
    <w:p w14:paraId="4B9E1DDD" w14:textId="77777777" w:rsidR="00982D06" w:rsidRDefault="00D96E42">
      <w:pPr>
        <w:pBdr>
          <w:left w:val="none" w:sz="0" w:space="22" w:color="auto"/>
        </w:pBdr>
        <w:spacing w:after="280" w:afterAutospacing="1"/>
        <w:rPr>
          <w:rFonts w:ascii="Arial" w:eastAsia="Arial" w:hAnsi="Arial" w:cs="Arial"/>
          <w:color w:val="000000"/>
          <w:sz w:val="20"/>
          <w:szCs w:val="20"/>
        </w:rPr>
      </w:pPr>
      <w:r>
        <w:rPr>
          <w:rFonts w:ascii="Arial" w:eastAsia="Arial" w:hAnsi="Arial" w:cs="Arial"/>
          <w:color w:val="000000"/>
          <w:sz w:val="20"/>
          <w:szCs w:val="20"/>
        </w:rPr>
        <w:t>(a) a health professional who has treated or advised the student;</w:t>
      </w:r>
    </w:p>
    <w:p w14:paraId="0BEC8506" w14:textId="77777777" w:rsidR="00982D06" w:rsidRDefault="00D96E42">
      <w:pPr>
        <w:pBdr>
          <w:left w:val="none" w:sz="0" w:space="22" w:color="auto"/>
        </w:pBdr>
        <w:spacing w:after="280" w:afterAutospacing="1"/>
        <w:rPr>
          <w:rFonts w:ascii="Arial" w:eastAsia="Arial" w:hAnsi="Arial" w:cs="Arial"/>
          <w:color w:val="000000"/>
          <w:sz w:val="20"/>
          <w:szCs w:val="20"/>
        </w:rPr>
      </w:pPr>
      <w:r>
        <w:rPr>
          <w:rFonts w:ascii="Arial" w:eastAsia="Arial" w:hAnsi="Arial" w:cs="Arial"/>
          <w:color w:val="000000"/>
          <w:sz w:val="20"/>
          <w:szCs w:val="20"/>
        </w:rPr>
        <w:t>(b) the dean of the relevant faculty;</w:t>
      </w:r>
    </w:p>
    <w:p w14:paraId="0BB7F393" w14:textId="77777777" w:rsidR="00982D06" w:rsidRDefault="00D96E42">
      <w:pPr>
        <w:pBdr>
          <w:left w:val="none" w:sz="0" w:space="22" w:color="auto"/>
        </w:pBdr>
        <w:spacing w:after="280" w:afterAutospacing="1"/>
        <w:rPr>
          <w:rFonts w:ascii="Arial" w:eastAsia="Arial" w:hAnsi="Arial" w:cs="Arial"/>
          <w:color w:val="000000"/>
          <w:sz w:val="20"/>
          <w:szCs w:val="20"/>
        </w:rPr>
      </w:pPr>
      <w:r>
        <w:rPr>
          <w:rFonts w:ascii="Arial" w:eastAsia="Arial" w:hAnsi="Arial" w:cs="Arial"/>
          <w:color w:val="000000"/>
          <w:sz w:val="20"/>
          <w:szCs w:val="20"/>
        </w:rPr>
        <w:t>(c) the head of the relevant school or department.</w:t>
      </w:r>
    </w:p>
    <w:p w14:paraId="2B081151" w14:textId="77777777" w:rsidR="00982D06" w:rsidRDefault="00D96E42">
      <w:pPr>
        <w:spacing w:after="280" w:afterAutospacing="1"/>
        <w:rPr>
          <w:rFonts w:ascii="Arial" w:eastAsia="Arial" w:hAnsi="Arial" w:cs="Arial"/>
          <w:color w:val="000000"/>
          <w:sz w:val="20"/>
          <w:szCs w:val="20"/>
        </w:rPr>
      </w:pPr>
      <w:r>
        <w:rPr>
          <w:rFonts w:ascii="Arial" w:eastAsia="Arial" w:hAnsi="Arial" w:cs="Arial"/>
          <w:color w:val="000000"/>
          <w:sz w:val="20"/>
          <w:szCs w:val="20"/>
        </w:rPr>
        <w:t>5.12. A Fitness to Study Committee —</w:t>
      </w:r>
    </w:p>
    <w:p w14:paraId="1BCFBE2A" w14:textId="40DB8F80" w:rsidR="00D50020" w:rsidRDefault="00D96E42" w:rsidP="00D50020">
      <w:pPr>
        <w:pBdr>
          <w:left w:val="none" w:sz="0" w:space="22" w:color="auto"/>
        </w:pBdr>
        <w:spacing w:after="280" w:afterAutospacing="1"/>
        <w:rPr>
          <w:rFonts w:ascii="Arial" w:eastAsia="Arial" w:hAnsi="Arial" w:cs="Arial"/>
          <w:color w:val="000000"/>
          <w:sz w:val="20"/>
          <w:szCs w:val="20"/>
        </w:rPr>
      </w:pPr>
      <w:r>
        <w:rPr>
          <w:rFonts w:ascii="Arial" w:eastAsia="Arial" w:hAnsi="Arial" w:cs="Arial"/>
          <w:color w:val="000000"/>
          <w:sz w:val="20"/>
          <w:szCs w:val="20"/>
        </w:rPr>
        <w:t xml:space="preserve">(a) </w:t>
      </w:r>
      <w:r w:rsidR="00D50020">
        <w:rPr>
          <w:rFonts w:ascii="Arial" w:eastAsia="Arial" w:hAnsi="Arial" w:cs="Arial"/>
          <w:color w:val="000000"/>
          <w:sz w:val="20"/>
          <w:szCs w:val="20"/>
        </w:rPr>
        <w:t>will be chaired by a senior member of staff appointed in accordance with 5.10</w:t>
      </w:r>
      <w:r w:rsidR="00F149B7">
        <w:rPr>
          <w:rFonts w:ascii="Arial" w:eastAsia="Arial" w:hAnsi="Arial" w:cs="Arial"/>
          <w:color w:val="000000"/>
          <w:sz w:val="20"/>
          <w:szCs w:val="20"/>
        </w:rPr>
        <w:t>;</w:t>
      </w:r>
    </w:p>
    <w:p w14:paraId="6F8D0BC4" w14:textId="419B9879" w:rsidR="00982D06" w:rsidRDefault="00F149B7">
      <w:pPr>
        <w:pBdr>
          <w:left w:val="none" w:sz="0" w:space="22" w:color="auto"/>
        </w:pBdr>
        <w:spacing w:after="280" w:afterAutospacing="1"/>
        <w:rPr>
          <w:rFonts w:ascii="Arial" w:eastAsia="Arial" w:hAnsi="Arial" w:cs="Arial"/>
          <w:color w:val="000000"/>
          <w:sz w:val="20"/>
          <w:szCs w:val="20"/>
        </w:rPr>
      </w:pPr>
      <w:r>
        <w:rPr>
          <w:rFonts w:ascii="Arial" w:eastAsia="Arial" w:hAnsi="Arial" w:cs="Arial"/>
          <w:color w:val="000000"/>
          <w:sz w:val="20"/>
          <w:szCs w:val="20"/>
        </w:rPr>
        <w:t xml:space="preserve">(b) </w:t>
      </w:r>
      <w:r w:rsidR="00D96E42">
        <w:rPr>
          <w:rFonts w:ascii="Arial" w:eastAsia="Arial" w:hAnsi="Arial" w:cs="Arial"/>
          <w:color w:val="000000"/>
          <w:sz w:val="20"/>
          <w:szCs w:val="20"/>
        </w:rPr>
        <w:t>must give the student concerned or their representative an opportunity to engage with the Committee in person, in writing or both;</w:t>
      </w:r>
    </w:p>
    <w:p w14:paraId="11095904" w14:textId="421CEFE0" w:rsidR="00982D06" w:rsidRDefault="00D96E42">
      <w:pPr>
        <w:pBdr>
          <w:left w:val="none" w:sz="0" w:space="22" w:color="auto"/>
        </w:pBdr>
        <w:spacing w:after="280" w:afterAutospacing="1"/>
        <w:rPr>
          <w:rFonts w:ascii="Arial" w:eastAsia="Arial" w:hAnsi="Arial" w:cs="Arial"/>
          <w:color w:val="000000"/>
          <w:sz w:val="20"/>
          <w:szCs w:val="20"/>
        </w:rPr>
      </w:pPr>
      <w:r>
        <w:rPr>
          <w:rFonts w:ascii="Arial" w:eastAsia="Arial" w:hAnsi="Arial" w:cs="Arial"/>
          <w:color w:val="000000"/>
          <w:sz w:val="20"/>
          <w:szCs w:val="20"/>
        </w:rPr>
        <w:t>(</w:t>
      </w:r>
      <w:r w:rsidR="00F149B7">
        <w:rPr>
          <w:rFonts w:ascii="Arial" w:eastAsia="Arial" w:hAnsi="Arial" w:cs="Arial"/>
          <w:color w:val="000000"/>
          <w:sz w:val="20"/>
          <w:szCs w:val="20"/>
        </w:rPr>
        <w:t>c</w:t>
      </w:r>
      <w:r>
        <w:rPr>
          <w:rFonts w:ascii="Arial" w:eastAsia="Arial" w:hAnsi="Arial" w:cs="Arial"/>
          <w:color w:val="000000"/>
          <w:sz w:val="20"/>
          <w:szCs w:val="20"/>
        </w:rPr>
        <w:t xml:space="preserve">) </w:t>
      </w:r>
      <w:r w:rsidR="00914606">
        <w:rPr>
          <w:rFonts w:ascii="Arial" w:eastAsia="Arial" w:hAnsi="Arial" w:cs="Arial"/>
          <w:color w:val="000000"/>
          <w:sz w:val="20"/>
          <w:szCs w:val="20"/>
        </w:rPr>
        <w:t>may request</w:t>
      </w:r>
      <w:r w:rsidR="00A60622">
        <w:rPr>
          <w:rFonts w:ascii="Arial" w:eastAsia="Arial" w:hAnsi="Arial" w:cs="Arial"/>
          <w:color w:val="000000"/>
          <w:sz w:val="20"/>
          <w:szCs w:val="20"/>
        </w:rPr>
        <w:t xml:space="preserve"> a</w:t>
      </w:r>
      <w:r w:rsidR="00914606">
        <w:rPr>
          <w:rFonts w:ascii="Arial" w:eastAsia="Arial" w:hAnsi="Arial" w:cs="Arial"/>
          <w:color w:val="000000"/>
          <w:sz w:val="20"/>
          <w:szCs w:val="20"/>
        </w:rPr>
        <w:t xml:space="preserve"> </w:t>
      </w:r>
      <w:r w:rsidR="00A60622">
        <w:rPr>
          <w:rFonts w:ascii="Arial" w:eastAsia="Arial" w:hAnsi="Arial" w:cs="Arial"/>
          <w:color w:val="000000"/>
          <w:sz w:val="20"/>
          <w:szCs w:val="20"/>
        </w:rPr>
        <w:t>specific</w:t>
      </w:r>
      <w:r w:rsidR="00914606">
        <w:rPr>
          <w:rFonts w:ascii="Arial" w:eastAsia="Arial" w:hAnsi="Arial" w:cs="Arial"/>
          <w:color w:val="000000"/>
          <w:sz w:val="20"/>
          <w:szCs w:val="20"/>
        </w:rPr>
        <w:t xml:space="preserve"> </w:t>
      </w:r>
      <w:r w:rsidR="00A60622">
        <w:rPr>
          <w:rFonts w:ascii="Arial" w:eastAsia="Arial" w:hAnsi="Arial" w:cs="Arial"/>
          <w:color w:val="000000"/>
          <w:sz w:val="20"/>
          <w:szCs w:val="20"/>
        </w:rPr>
        <w:t xml:space="preserve">report from a relevant health professional and </w:t>
      </w:r>
      <w:r>
        <w:rPr>
          <w:rFonts w:ascii="Arial" w:eastAsia="Arial" w:hAnsi="Arial" w:cs="Arial"/>
          <w:color w:val="000000"/>
          <w:sz w:val="20"/>
          <w:szCs w:val="20"/>
        </w:rPr>
        <w:t>must accept any medical certificate or other documentation submitted by the student concerned; and</w:t>
      </w:r>
    </w:p>
    <w:p w14:paraId="2EA896D7" w14:textId="6B2B3E10" w:rsidR="00982D06" w:rsidRDefault="00D96E42">
      <w:pPr>
        <w:pBdr>
          <w:left w:val="none" w:sz="0" w:space="22" w:color="auto"/>
        </w:pBdr>
        <w:spacing w:after="280" w:afterAutospacing="1"/>
        <w:rPr>
          <w:rFonts w:ascii="Arial" w:eastAsia="Arial" w:hAnsi="Arial" w:cs="Arial"/>
          <w:color w:val="000000"/>
          <w:sz w:val="20"/>
          <w:szCs w:val="20"/>
        </w:rPr>
      </w:pPr>
      <w:r>
        <w:rPr>
          <w:rFonts w:ascii="Arial" w:eastAsia="Arial" w:hAnsi="Arial" w:cs="Arial"/>
          <w:color w:val="000000"/>
          <w:sz w:val="20"/>
          <w:szCs w:val="20"/>
        </w:rPr>
        <w:t>(</w:t>
      </w:r>
      <w:r w:rsidR="00F149B7">
        <w:rPr>
          <w:rFonts w:ascii="Arial" w:eastAsia="Arial" w:hAnsi="Arial" w:cs="Arial"/>
          <w:color w:val="000000"/>
          <w:sz w:val="20"/>
          <w:szCs w:val="20"/>
        </w:rPr>
        <w:t>d</w:t>
      </w:r>
      <w:r>
        <w:rPr>
          <w:rFonts w:ascii="Arial" w:eastAsia="Arial" w:hAnsi="Arial" w:cs="Arial"/>
          <w:color w:val="000000"/>
          <w:sz w:val="20"/>
          <w:szCs w:val="20"/>
        </w:rPr>
        <w:t>) must allow any health professionals who have treated or advised the student to provide a report to the Committee in person, in writing or both; and</w:t>
      </w:r>
    </w:p>
    <w:p w14:paraId="14AF8C47" w14:textId="34CDDCDA" w:rsidR="00982D06" w:rsidRDefault="00D96E42">
      <w:pPr>
        <w:pBdr>
          <w:left w:val="none" w:sz="0" w:space="22" w:color="auto"/>
        </w:pBdr>
        <w:spacing w:after="280" w:afterAutospacing="1"/>
        <w:rPr>
          <w:rFonts w:ascii="Arial" w:eastAsia="Arial" w:hAnsi="Arial" w:cs="Arial"/>
          <w:color w:val="000000"/>
          <w:sz w:val="20"/>
          <w:szCs w:val="20"/>
        </w:rPr>
      </w:pPr>
      <w:r>
        <w:rPr>
          <w:rFonts w:ascii="Arial" w:eastAsia="Arial" w:hAnsi="Arial" w:cs="Arial"/>
          <w:color w:val="000000"/>
          <w:sz w:val="20"/>
          <w:szCs w:val="20"/>
        </w:rPr>
        <w:t>(</w:t>
      </w:r>
      <w:r w:rsidR="00F149B7">
        <w:rPr>
          <w:rFonts w:ascii="Arial" w:eastAsia="Arial" w:hAnsi="Arial" w:cs="Arial"/>
          <w:color w:val="000000"/>
          <w:sz w:val="20"/>
          <w:szCs w:val="20"/>
        </w:rPr>
        <w:t>e</w:t>
      </w:r>
      <w:r>
        <w:rPr>
          <w:rFonts w:ascii="Arial" w:eastAsia="Arial" w:hAnsi="Arial" w:cs="Arial"/>
          <w:color w:val="000000"/>
          <w:sz w:val="20"/>
          <w:szCs w:val="20"/>
        </w:rPr>
        <w:t xml:space="preserve">) must, where appropriate, take into account the matters specified in Section </w:t>
      </w:r>
      <w:r w:rsidR="00F06C60">
        <w:rPr>
          <w:rFonts w:ascii="Arial" w:eastAsia="Arial" w:hAnsi="Arial" w:cs="Arial"/>
          <w:color w:val="000000"/>
          <w:sz w:val="20"/>
          <w:szCs w:val="20"/>
        </w:rPr>
        <w:t>31</w:t>
      </w:r>
      <w:r>
        <w:rPr>
          <w:rFonts w:ascii="Arial" w:eastAsia="Arial" w:hAnsi="Arial" w:cs="Arial"/>
          <w:color w:val="000000"/>
          <w:sz w:val="20"/>
          <w:szCs w:val="20"/>
        </w:rPr>
        <w:t xml:space="preserve">(2) of the </w:t>
      </w:r>
      <w:hyperlink r:id="rId19" w:history="1">
        <w:r w:rsidR="00C84049" w:rsidRPr="00C84049">
          <w:rPr>
            <w:rStyle w:val="Hyperlink"/>
            <w:rFonts w:ascii="Arial" w:eastAsia="Arial" w:hAnsi="Arial" w:cs="Arial"/>
            <w:sz w:val="20"/>
            <w:szCs w:val="20"/>
          </w:rPr>
          <w:t>Vice-Chancellor’s Regulation.</w:t>
        </w:r>
      </w:hyperlink>
    </w:p>
    <w:p w14:paraId="2DA52EED" w14:textId="73F0D5FF" w:rsidR="00982D06" w:rsidRDefault="00D96E42">
      <w:pPr>
        <w:pBdr>
          <w:left w:val="none" w:sz="0" w:space="22" w:color="auto"/>
        </w:pBdr>
        <w:spacing w:after="280" w:afterAutospacing="1"/>
        <w:rPr>
          <w:rFonts w:ascii="Arial" w:eastAsia="Arial" w:hAnsi="Arial" w:cs="Arial"/>
          <w:color w:val="000000"/>
          <w:sz w:val="20"/>
          <w:szCs w:val="20"/>
        </w:rPr>
      </w:pPr>
      <w:r>
        <w:rPr>
          <w:rFonts w:ascii="Arial" w:eastAsia="Arial" w:hAnsi="Arial" w:cs="Arial"/>
          <w:color w:val="000000"/>
          <w:sz w:val="20"/>
          <w:szCs w:val="20"/>
        </w:rPr>
        <w:t>(</w:t>
      </w:r>
      <w:r w:rsidR="00F149B7">
        <w:rPr>
          <w:rFonts w:ascii="Arial" w:eastAsia="Arial" w:hAnsi="Arial" w:cs="Arial"/>
          <w:color w:val="000000"/>
          <w:sz w:val="20"/>
          <w:szCs w:val="20"/>
        </w:rPr>
        <w:t>f</w:t>
      </w:r>
      <w:r>
        <w:rPr>
          <w:rFonts w:ascii="Arial" w:eastAsia="Arial" w:hAnsi="Arial" w:cs="Arial"/>
          <w:color w:val="000000"/>
          <w:sz w:val="20"/>
          <w:szCs w:val="20"/>
        </w:rPr>
        <w:t>) may make any enquiries and consult any person, including a relevant fitness to study officer.</w:t>
      </w:r>
    </w:p>
    <w:p w14:paraId="3505F73D" w14:textId="77777777" w:rsidR="00982D06" w:rsidRDefault="00D96E42">
      <w:pPr>
        <w:spacing w:after="280" w:afterAutospacing="1"/>
        <w:rPr>
          <w:rFonts w:ascii="Arial" w:eastAsia="Arial" w:hAnsi="Arial" w:cs="Arial"/>
          <w:color w:val="000000"/>
          <w:sz w:val="20"/>
          <w:szCs w:val="20"/>
        </w:rPr>
      </w:pPr>
      <w:r>
        <w:rPr>
          <w:rFonts w:ascii="Arial" w:eastAsia="Arial" w:hAnsi="Arial" w:cs="Arial"/>
          <w:color w:val="000000"/>
          <w:sz w:val="20"/>
          <w:szCs w:val="20"/>
        </w:rPr>
        <w:lastRenderedPageBreak/>
        <w:t>5.13. Nothing in this policy prevents the Academic Registrar or delegate from discussing a concern directly with a student, provided the student agrees, in order establish appropriate support to help the student to complete their studies.</w:t>
      </w:r>
    </w:p>
    <w:p w14:paraId="40EAC164" w14:textId="77777777" w:rsidR="00982D06" w:rsidRDefault="00D96E42">
      <w:pPr>
        <w:pStyle w:val="Heading3"/>
      </w:pPr>
      <w:r>
        <w:t>Student Notification and Response</w:t>
      </w:r>
    </w:p>
    <w:p w14:paraId="0909F831" w14:textId="77777777" w:rsidR="00982D06" w:rsidRDefault="00D96E42">
      <w:pPr>
        <w:spacing w:after="280" w:afterAutospacing="1"/>
        <w:rPr>
          <w:rFonts w:ascii="Arial" w:eastAsia="Arial" w:hAnsi="Arial" w:cs="Arial"/>
          <w:color w:val="000000"/>
          <w:sz w:val="20"/>
          <w:szCs w:val="20"/>
        </w:rPr>
      </w:pPr>
      <w:r>
        <w:rPr>
          <w:rFonts w:ascii="Arial" w:eastAsia="Arial" w:hAnsi="Arial" w:cs="Arial"/>
          <w:color w:val="000000"/>
          <w:sz w:val="20"/>
          <w:szCs w:val="20"/>
        </w:rPr>
        <w:t>5.14. For a matter to be referred to a Fitness to Study Committee, the Academic Registrar must notify a student in writing:</w:t>
      </w:r>
    </w:p>
    <w:p w14:paraId="5E8321A0" w14:textId="77777777" w:rsidR="00982D06" w:rsidRDefault="00D96E42">
      <w:pPr>
        <w:pBdr>
          <w:left w:val="none" w:sz="0" w:space="22" w:color="auto"/>
        </w:pBdr>
        <w:spacing w:after="280" w:afterAutospacing="1"/>
        <w:rPr>
          <w:rFonts w:ascii="Arial" w:eastAsia="Arial" w:hAnsi="Arial" w:cs="Arial"/>
          <w:color w:val="000000"/>
          <w:sz w:val="20"/>
          <w:szCs w:val="20"/>
        </w:rPr>
      </w:pPr>
      <w:r>
        <w:rPr>
          <w:rFonts w:ascii="Arial" w:eastAsia="Arial" w:hAnsi="Arial" w:cs="Arial"/>
          <w:color w:val="000000"/>
          <w:sz w:val="20"/>
          <w:szCs w:val="20"/>
        </w:rPr>
        <w:t>(a) that the Academic Registrar has been alerted to concerns raised about the student’s behaviour or action;</w:t>
      </w:r>
    </w:p>
    <w:p w14:paraId="67ADEF4F" w14:textId="77777777" w:rsidR="00982D06" w:rsidRDefault="00D96E42">
      <w:pPr>
        <w:pBdr>
          <w:left w:val="none" w:sz="0" w:space="22" w:color="auto"/>
        </w:pBdr>
        <w:spacing w:after="280" w:afterAutospacing="1"/>
        <w:rPr>
          <w:rFonts w:ascii="Arial" w:eastAsia="Arial" w:hAnsi="Arial" w:cs="Arial"/>
          <w:color w:val="000000"/>
          <w:sz w:val="20"/>
          <w:szCs w:val="20"/>
        </w:rPr>
      </w:pPr>
      <w:r>
        <w:rPr>
          <w:rFonts w:ascii="Arial" w:eastAsia="Arial" w:hAnsi="Arial" w:cs="Arial"/>
          <w:color w:val="000000"/>
          <w:sz w:val="20"/>
          <w:szCs w:val="20"/>
        </w:rPr>
        <w:t>(b) the particulars of the student’s behaviour or actions leading to the concern;</w:t>
      </w:r>
    </w:p>
    <w:p w14:paraId="16C29107" w14:textId="77777777" w:rsidR="00982D06" w:rsidRDefault="00D96E42">
      <w:pPr>
        <w:pBdr>
          <w:left w:val="none" w:sz="0" w:space="22" w:color="auto"/>
        </w:pBdr>
        <w:spacing w:after="280" w:afterAutospacing="1"/>
        <w:rPr>
          <w:rFonts w:ascii="Arial" w:eastAsia="Arial" w:hAnsi="Arial" w:cs="Arial"/>
          <w:color w:val="000000"/>
          <w:sz w:val="20"/>
          <w:szCs w:val="20"/>
        </w:rPr>
      </w:pPr>
      <w:r>
        <w:rPr>
          <w:rFonts w:ascii="Arial" w:eastAsia="Arial" w:hAnsi="Arial" w:cs="Arial"/>
          <w:color w:val="000000"/>
          <w:sz w:val="20"/>
          <w:szCs w:val="20"/>
        </w:rPr>
        <w:t>(c) that the matter has been referred to a Fitness to Study Committee for consideration;</w:t>
      </w:r>
    </w:p>
    <w:p w14:paraId="41427F87" w14:textId="6ACE3505" w:rsidR="00982D06" w:rsidRDefault="00D96E42">
      <w:pPr>
        <w:pBdr>
          <w:left w:val="none" w:sz="0" w:space="22" w:color="auto"/>
        </w:pBdr>
        <w:spacing w:after="280" w:afterAutospacing="1"/>
        <w:rPr>
          <w:rFonts w:ascii="Arial" w:eastAsia="Arial" w:hAnsi="Arial" w:cs="Arial"/>
          <w:color w:val="000000"/>
          <w:sz w:val="20"/>
          <w:szCs w:val="20"/>
        </w:rPr>
      </w:pPr>
      <w:r>
        <w:rPr>
          <w:rFonts w:ascii="Arial" w:eastAsia="Arial" w:hAnsi="Arial" w:cs="Arial"/>
          <w:color w:val="000000"/>
          <w:sz w:val="20"/>
          <w:szCs w:val="20"/>
        </w:rPr>
        <w:t xml:space="preserve">(d) the place or online method used, the time and date of the Fitness to Study Committee meeting, which must be no earlier than 10 </w:t>
      </w:r>
      <w:r w:rsidR="008A2D8E">
        <w:rPr>
          <w:rFonts w:ascii="Arial" w:eastAsia="Arial" w:hAnsi="Arial" w:cs="Arial"/>
          <w:color w:val="000000"/>
          <w:sz w:val="20"/>
          <w:szCs w:val="20"/>
        </w:rPr>
        <w:t xml:space="preserve">University </w:t>
      </w:r>
      <w:r>
        <w:rPr>
          <w:rFonts w:ascii="Arial" w:eastAsia="Arial" w:hAnsi="Arial" w:cs="Arial"/>
          <w:color w:val="000000"/>
          <w:sz w:val="20"/>
          <w:szCs w:val="20"/>
        </w:rPr>
        <w:t>business days from the date that the matter was raised with the Academic Registrar;</w:t>
      </w:r>
    </w:p>
    <w:p w14:paraId="2F232A8C" w14:textId="77777777" w:rsidR="00982D06" w:rsidRDefault="00D96E42">
      <w:pPr>
        <w:pBdr>
          <w:left w:val="none" w:sz="0" w:space="22" w:color="auto"/>
        </w:pBdr>
        <w:spacing w:after="280" w:afterAutospacing="1"/>
        <w:rPr>
          <w:rFonts w:ascii="Arial" w:eastAsia="Arial" w:hAnsi="Arial" w:cs="Arial"/>
          <w:color w:val="000000"/>
          <w:sz w:val="20"/>
          <w:szCs w:val="20"/>
        </w:rPr>
      </w:pPr>
      <w:r>
        <w:rPr>
          <w:rFonts w:ascii="Arial" w:eastAsia="Arial" w:hAnsi="Arial" w:cs="Arial"/>
          <w:color w:val="000000"/>
          <w:sz w:val="20"/>
          <w:szCs w:val="20"/>
        </w:rPr>
        <w:t>(e) the student’s right to respond to the concern in advance of the Committee meeting in writing, at the meeting, or both;</w:t>
      </w:r>
    </w:p>
    <w:p w14:paraId="732401CA" w14:textId="77777777" w:rsidR="00982D06" w:rsidRDefault="00D96E42">
      <w:pPr>
        <w:pBdr>
          <w:left w:val="none" w:sz="0" w:space="22" w:color="auto"/>
        </w:pBdr>
        <w:spacing w:after="280" w:afterAutospacing="1"/>
        <w:rPr>
          <w:rFonts w:ascii="Arial" w:eastAsia="Arial" w:hAnsi="Arial" w:cs="Arial"/>
          <w:color w:val="000000"/>
          <w:sz w:val="20"/>
          <w:szCs w:val="20"/>
        </w:rPr>
      </w:pPr>
      <w:r>
        <w:rPr>
          <w:rFonts w:ascii="Arial" w:eastAsia="Arial" w:hAnsi="Arial" w:cs="Arial"/>
          <w:color w:val="000000"/>
          <w:sz w:val="20"/>
          <w:szCs w:val="20"/>
        </w:rPr>
        <w:t>(f) the student’s right to notify the fitness to study officer that the student will be supported at the meeting by an officer of Student Union Advocacy Service; or a named support person; and</w:t>
      </w:r>
    </w:p>
    <w:p w14:paraId="4765A6C8" w14:textId="57B0D584" w:rsidR="00982D06" w:rsidRDefault="00D96E42">
      <w:pPr>
        <w:pBdr>
          <w:left w:val="none" w:sz="0" w:space="22" w:color="auto"/>
        </w:pBdr>
        <w:spacing w:after="280" w:afterAutospacing="1"/>
        <w:rPr>
          <w:rFonts w:ascii="Arial" w:eastAsia="Arial" w:hAnsi="Arial" w:cs="Arial"/>
          <w:color w:val="000000"/>
          <w:sz w:val="20"/>
          <w:szCs w:val="20"/>
        </w:rPr>
      </w:pPr>
      <w:r>
        <w:rPr>
          <w:rFonts w:ascii="Arial" w:eastAsia="Arial" w:hAnsi="Arial" w:cs="Arial"/>
          <w:color w:val="000000"/>
          <w:sz w:val="20"/>
          <w:szCs w:val="20"/>
        </w:rPr>
        <w:t xml:space="preserve">(g) of this policy and the relevant sections of the </w:t>
      </w:r>
      <w:hyperlink r:id="rId20" w:history="1">
        <w:r>
          <w:rPr>
            <w:rFonts w:ascii="Arial" w:eastAsia="Arial" w:hAnsi="Arial" w:cs="Arial"/>
            <w:color w:val="0000FF"/>
            <w:sz w:val="20"/>
            <w:szCs w:val="20"/>
            <w:u w:val="single"/>
          </w:rPr>
          <w:t>Vice Chancellor Regulation</w:t>
        </w:r>
      </w:hyperlink>
      <w:r>
        <w:rPr>
          <w:rFonts w:ascii="Arial" w:eastAsia="Arial" w:hAnsi="Arial" w:cs="Arial"/>
          <w:color w:val="000000"/>
          <w:sz w:val="20"/>
          <w:szCs w:val="20"/>
        </w:rPr>
        <w:t>.</w:t>
      </w:r>
    </w:p>
    <w:p w14:paraId="21BC1F00" w14:textId="77777777" w:rsidR="00982D06" w:rsidRDefault="00D96E42">
      <w:pPr>
        <w:spacing w:after="280" w:afterAutospacing="1"/>
        <w:rPr>
          <w:rFonts w:ascii="Arial" w:eastAsia="Arial" w:hAnsi="Arial" w:cs="Arial"/>
          <w:color w:val="000000"/>
          <w:sz w:val="20"/>
          <w:szCs w:val="20"/>
        </w:rPr>
      </w:pPr>
      <w:r>
        <w:rPr>
          <w:rFonts w:ascii="Arial" w:eastAsia="Arial" w:hAnsi="Arial" w:cs="Arial"/>
          <w:color w:val="000000"/>
          <w:sz w:val="20"/>
          <w:szCs w:val="20"/>
        </w:rPr>
        <w:t>5.15. Students may:</w:t>
      </w:r>
    </w:p>
    <w:p w14:paraId="48FDFC65" w14:textId="77777777" w:rsidR="00982D06" w:rsidRDefault="00D96E42">
      <w:pPr>
        <w:pBdr>
          <w:left w:val="none" w:sz="0" w:space="22" w:color="auto"/>
        </w:pBdr>
        <w:spacing w:after="280" w:afterAutospacing="1"/>
        <w:rPr>
          <w:rFonts w:ascii="Arial" w:eastAsia="Arial" w:hAnsi="Arial" w:cs="Arial"/>
          <w:color w:val="000000"/>
          <w:sz w:val="20"/>
          <w:szCs w:val="20"/>
        </w:rPr>
      </w:pPr>
      <w:r>
        <w:rPr>
          <w:rFonts w:ascii="Arial" w:eastAsia="Arial" w:hAnsi="Arial" w:cs="Arial"/>
          <w:color w:val="000000"/>
          <w:sz w:val="20"/>
          <w:szCs w:val="20"/>
        </w:rPr>
        <w:t>(a) respond to the concerns raised under section 5.14 in advance of the meeting in writing, or at the meeting, or both; and</w:t>
      </w:r>
    </w:p>
    <w:p w14:paraId="52C88DC6" w14:textId="77777777" w:rsidR="00982D06" w:rsidRDefault="00D96E42">
      <w:pPr>
        <w:pBdr>
          <w:left w:val="none" w:sz="0" w:space="22" w:color="auto"/>
        </w:pBdr>
        <w:spacing w:after="280" w:afterAutospacing="1"/>
        <w:rPr>
          <w:rFonts w:ascii="Arial" w:eastAsia="Arial" w:hAnsi="Arial" w:cs="Arial"/>
          <w:color w:val="000000"/>
          <w:sz w:val="20"/>
          <w:szCs w:val="20"/>
        </w:rPr>
      </w:pPr>
      <w:r>
        <w:rPr>
          <w:rFonts w:ascii="Arial" w:eastAsia="Arial" w:hAnsi="Arial" w:cs="Arial"/>
          <w:color w:val="000000"/>
          <w:sz w:val="20"/>
          <w:szCs w:val="20"/>
        </w:rPr>
        <w:t>(b) bring a named support person who is an officer of Student Union Advocacy Service to support the student at the meeting.</w:t>
      </w:r>
    </w:p>
    <w:p w14:paraId="72F3D206" w14:textId="77777777" w:rsidR="00982D06" w:rsidRDefault="00D96E42">
      <w:pPr>
        <w:pStyle w:val="Heading3"/>
      </w:pPr>
      <w:r>
        <w:t>Outcomes</w:t>
      </w:r>
    </w:p>
    <w:p w14:paraId="0ECD1C01" w14:textId="7A365B80" w:rsidR="00982D06" w:rsidRDefault="00D96E42">
      <w:pPr>
        <w:spacing w:after="280" w:afterAutospacing="1"/>
        <w:rPr>
          <w:rFonts w:ascii="Arial" w:eastAsia="Arial" w:hAnsi="Arial" w:cs="Arial"/>
          <w:color w:val="000000"/>
          <w:sz w:val="20"/>
          <w:szCs w:val="20"/>
        </w:rPr>
      </w:pPr>
      <w:r>
        <w:rPr>
          <w:rFonts w:ascii="Arial" w:eastAsia="Arial" w:hAnsi="Arial" w:cs="Arial"/>
          <w:color w:val="000000"/>
          <w:sz w:val="20"/>
          <w:szCs w:val="20"/>
        </w:rPr>
        <w:t>5.16. Within two</w:t>
      </w:r>
      <w:r w:rsidR="008A2D8E">
        <w:rPr>
          <w:rFonts w:ascii="Arial" w:eastAsia="Arial" w:hAnsi="Arial" w:cs="Arial"/>
          <w:color w:val="000000"/>
          <w:sz w:val="20"/>
          <w:szCs w:val="20"/>
        </w:rPr>
        <w:t xml:space="preserve"> University</w:t>
      </w:r>
      <w:r>
        <w:rPr>
          <w:rFonts w:ascii="Arial" w:eastAsia="Arial" w:hAnsi="Arial" w:cs="Arial"/>
          <w:color w:val="000000"/>
          <w:sz w:val="20"/>
          <w:szCs w:val="20"/>
        </w:rPr>
        <w:t xml:space="preserve"> business days of the meeting, the Fitness to Study Committee (where appointed) must produce a report of their considerations on the student’s fitness to study for the Academic Registrar who may:</w:t>
      </w:r>
    </w:p>
    <w:p w14:paraId="6DB81486" w14:textId="77777777" w:rsidR="00982D06" w:rsidRDefault="00D96E42">
      <w:pPr>
        <w:pBdr>
          <w:left w:val="none" w:sz="0" w:space="22" w:color="auto"/>
        </w:pBdr>
        <w:spacing w:after="280" w:afterAutospacing="1"/>
        <w:rPr>
          <w:rFonts w:ascii="Arial" w:eastAsia="Arial" w:hAnsi="Arial" w:cs="Arial"/>
          <w:color w:val="000000"/>
          <w:sz w:val="20"/>
          <w:szCs w:val="20"/>
        </w:rPr>
      </w:pPr>
      <w:r>
        <w:rPr>
          <w:rFonts w:ascii="Arial" w:eastAsia="Arial" w:hAnsi="Arial" w:cs="Arial"/>
          <w:color w:val="000000"/>
          <w:sz w:val="20"/>
          <w:szCs w:val="20"/>
        </w:rPr>
        <w:t>(a) allow the student to continue to study, subject to review under certain specified conditions, such as ongoing support by a qualified health professional and/or careful mentoring by a senior member of academic staff of the faculty;</w:t>
      </w:r>
    </w:p>
    <w:p w14:paraId="49F8416E" w14:textId="77777777" w:rsidR="00982D06" w:rsidRDefault="00D96E42">
      <w:pPr>
        <w:pBdr>
          <w:left w:val="none" w:sz="0" w:space="22" w:color="auto"/>
        </w:pBdr>
        <w:spacing w:after="280" w:afterAutospacing="1"/>
        <w:rPr>
          <w:rFonts w:ascii="Arial" w:eastAsia="Arial" w:hAnsi="Arial" w:cs="Arial"/>
          <w:color w:val="000000"/>
          <w:sz w:val="20"/>
          <w:szCs w:val="20"/>
        </w:rPr>
      </w:pPr>
      <w:r>
        <w:rPr>
          <w:rFonts w:ascii="Arial" w:eastAsia="Arial" w:hAnsi="Arial" w:cs="Arial"/>
          <w:color w:val="000000"/>
          <w:sz w:val="20"/>
          <w:szCs w:val="20"/>
        </w:rPr>
        <w:t>(b) request the student complete specific actions in a specified and reasonable time frame to demonstrate their fitness to study (e.g. undertake an action plan to resolve a specific concern);</w:t>
      </w:r>
    </w:p>
    <w:p w14:paraId="53F2F067" w14:textId="77777777" w:rsidR="00982D06" w:rsidRDefault="00D96E42">
      <w:pPr>
        <w:pBdr>
          <w:left w:val="none" w:sz="0" w:space="22" w:color="auto"/>
        </w:pBdr>
        <w:spacing w:after="280" w:afterAutospacing="1"/>
        <w:rPr>
          <w:rFonts w:ascii="Arial" w:eastAsia="Arial" w:hAnsi="Arial" w:cs="Arial"/>
          <w:color w:val="000000"/>
          <w:sz w:val="20"/>
          <w:szCs w:val="20"/>
        </w:rPr>
      </w:pPr>
      <w:r>
        <w:rPr>
          <w:rFonts w:ascii="Arial" w:eastAsia="Arial" w:hAnsi="Arial" w:cs="Arial"/>
          <w:color w:val="000000"/>
          <w:sz w:val="20"/>
          <w:szCs w:val="20"/>
        </w:rPr>
        <w:t>(c) recommend to the student that they take a leave of absence from studies for an agreed period to concentrate on their wellbeing and/or to resolve any specific concern, subject to review at the end of that period and demonstration, to the satisfaction of the dean, that they are fit to study;</w:t>
      </w:r>
    </w:p>
    <w:p w14:paraId="29FD7849" w14:textId="23E0CAEF" w:rsidR="00982D06" w:rsidRDefault="00D96E42">
      <w:pPr>
        <w:pBdr>
          <w:left w:val="none" w:sz="0" w:space="22" w:color="auto"/>
        </w:pBdr>
        <w:spacing w:after="280" w:afterAutospacing="1"/>
        <w:rPr>
          <w:rFonts w:ascii="Arial" w:eastAsia="Arial" w:hAnsi="Arial" w:cs="Arial"/>
          <w:color w:val="000000"/>
          <w:sz w:val="20"/>
          <w:szCs w:val="20"/>
        </w:rPr>
      </w:pPr>
      <w:r>
        <w:rPr>
          <w:rFonts w:ascii="Arial" w:eastAsia="Arial" w:hAnsi="Arial" w:cs="Arial"/>
          <w:color w:val="000000"/>
          <w:sz w:val="20"/>
          <w:szCs w:val="20"/>
        </w:rPr>
        <w:lastRenderedPageBreak/>
        <w:t xml:space="preserve">(d) recommend to the student that they take an exit award, if one is available, in consultation with the relevant academic division and subject to compliance with the </w:t>
      </w:r>
      <w:hyperlink r:id="rId21" w:history="1">
        <w:r>
          <w:rPr>
            <w:rFonts w:ascii="Arial" w:eastAsia="Arial" w:hAnsi="Arial" w:cs="Arial"/>
            <w:color w:val="0000FF"/>
            <w:sz w:val="20"/>
            <w:szCs w:val="20"/>
            <w:u w:val="single"/>
          </w:rPr>
          <w:t>Academic Board Regulation</w:t>
        </w:r>
      </w:hyperlink>
      <w:r>
        <w:rPr>
          <w:rFonts w:ascii="Arial" w:eastAsia="Arial" w:hAnsi="Arial" w:cs="Arial"/>
          <w:color w:val="000000"/>
          <w:sz w:val="20"/>
          <w:szCs w:val="20"/>
        </w:rPr>
        <w:t xml:space="preserve"> and Policy;</w:t>
      </w:r>
    </w:p>
    <w:p w14:paraId="7BFC4C54" w14:textId="77777777" w:rsidR="00982D06" w:rsidRDefault="00D96E42">
      <w:pPr>
        <w:pBdr>
          <w:left w:val="none" w:sz="0" w:space="22" w:color="auto"/>
        </w:pBdr>
        <w:spacing w:after="280" w:afterAutospacing="1"/>
        <w:rPr>
          <w:rFonts w:ascii="Arial" w:eastAsia="Arial" w:hAnsi="Arial" w:cs="Arial"/>
          <w:color w:val="000000"/>
          <w:sz w:val="20"/>
          <w:szCs w:val="20"/>
        </w:rPr>
      </w:pPr>
      <w:r>
        <w:rPr>
          <w:rFonts w:ascii="Arial" w:eastAsia="Arial" w:hAnsi="Arial" w:cs="Arial"/>
          <w:color w:val="000000"/>
          <w:sz w:val="20"/>
          <w:szCs w:val="20"/>
        </w:rPr>
        <w:t>(e) recommend to the student that the student voluntarily withdraw from some or all of their study; and/or</w:t>
      </w:r>
    </w:p>
    <w:p w14:paraId="19091B1E" w14:textId="77777777" w:rsidR="00982D06" w:rsidRDefault="00D96E42">
      <w:pPr>
        <w:pBdr>
          <w:left w:val="none" w:sz="0" w:space="22" w:color="auto"/>
        </w:pBdr>
        <w:spacing w:after="280" w:afterAutospacing="1"/>
        <w:rPr>
          <w:rFonts w:ascii="Arial" w:eastAsia="Arial" w:hAnsi="Arial" w:cs="Arial"/>
          <w:color w:val="000000"/>
          <w:sz w:val="20"/>
          <w:szCs w:val="20"/>
        </w:rPr>
      </w:pPr>
      <w:r>
        <w:rPr>
          <w:rFonts w:ascii="Arial" w:eastAsia="Arial" w:hAnsi="Arial" w:cs="Arial"/>
          <w:color w:val="000000"/>
          <w:sz w:val="20"/>
          <w:szCs w:val="20"/>
        </w:rPr>
        <w:t>(f) make a recommendation to the relevant dean.</w:t>
      </w:r>
    </w:p>
    <w:p w14:paraId="0D621742" w14:textId="01D5E7A7" w:rsidR="00982D06" w:rsidRDefault="00D96E42">
      <w:pPr>
        <w:spacing w:after="280" w:afterAutospacing="1"/>
        <w:rPr>
          <w:rFonts w:ascii="Arial" w:eastAsia="Arial" w:hAnsi="Arial" w:cs="Arial"/>
          <w:color w:val="000000"/>
          <w:sz w:val="20"/>
          <w:szCs w:val="20"/>
        </w:rPr>
      </w:pPr>
      <w:r>
        <w:rPr>
          <w:rFonts w:ascii="Arial" w:eastAsia="Arial" w:hAnsi="Arial" w:cs="Arial"/>
          <w:color w:val="000000"/>
          <w:sz w:val="20"/>
          <w:szCs w:val="20"/>
        </w:rPr>
        <w:t xml:space="preserve">5.17. Failure by a student to undertake any of the outcomes in 5.16 (a)–(e) is not to be actioned as student general misconduct under Part 6 of the </w:t>
      </w:r>
      <w:hyperlink r:id="rId22" w:history="1">
        <w:r>
          <w:rPr>
            <w:rFonts w:ascii="Arial" w:eastAsia="Arial" w:hAnsi="Arial" w:cs="Arial"/>
            <w:color w:val="0000FF"/>
            <w:sz w:val="20"/>
            <w:szCs w:val="20"/>
            <w:u w:val="single"/>
          </w:rPr>
          <w:t>Vice Chancellor Regulation</w:t>
        </w:r>
      </w:hyperlink>
      <w:r>
        <w:rPr>
          <w:rFonts w:ascii="Arial" w:eastAsia="Arial" w:hAnsi="Arial" w:cs="Arial"/>
          <w:i/>
          <w:iCs/>
          <w:color w:val="000000"/>
          <w:sz w:val="20"/>
          <w:szCs w:val="20"/>
        </w:rPr>
        <w:t xml:space="preserve"> </w:t>
      </w:r>
      <w:r>
        <w:rPr>
          <w:rFonts w:ascii="Arial" w:eastAsia="Arial" w:hAnsi="Arial" w:cs="Arial"/>
          <w:color w:val="000000"/>
          <w:sz w:val="20"/>
          <w:szCs w:val="20"/>
        </w:rPr>
        <w:t>but the Academic Registrar may take the failure into account in making a recommendation under Section 5.16 (f).</w:t>
      </w:r>
    </w:p>
    <w:p w14:paraId="0722EBCA" w14:textId="7B5DD7A4" w:rsidR="00982D06" w:rsidRDefault="00D96E42">
      <w:pPr>
        <w:spacing w:after="280" w:afterAutospacing="1"/>
        <w:rPr>
          <w:rFonts w:ascii="Arial" w:eastAsia="Arial" w:hAnsi="Arial" w:cs="Arial"/>
          <w:color w:val="000000"/>
          <w:sz w:val="20"/>
          <w:szCs w:val="20"/>
        </w:rPr>
      </w:pPr>
      <w:r>
        <w:rPr>
          <w:rFonts w:ascii="Arial" w:eastAsia="Arial" w:hAnsi="Arial" w:cs="Arial"/>
          <w:color w:val="000000"/>
          <w:sz w:val="20"/>
          <w:szCs w:val="20"/>
        </w:rPr>
        <w:t xml:space="preserve">5.18. The Academic Registrar </w:t>
      </w:r>
      <w:r w:rsidR="00977C86">
        <w:rPr>
          <w:rFonts w:ascii="Arial" w:eastAsia="Arial" w:hAnsi="Arial" w:cs="Arial"/>
          <w:color w:val="000000"/>
          <w:sz w:val="20"/>
          <w:szCs w:val="20"/>
        </w:rPr>
        <w:t xml:space="preserve">must </w:t>
      </w:r>
      <w:r>
        <w:rPr>
          <w:rFonts w:ascii="Arial" w:eastAsia="Arial" w:hAnsi="Arial" w:cs="Arial"/>
          <w:color w:val="000000"/>
          <w:sz w:val="20"/>
          <w:szCs w:val="20"/>
        </w:rPr>
        <w:t>make a recommendation</w:t>
      </w:r>
      <w:r w:rsidR="00977C86">
        <w:rPr>
          <w:rFonts w:ascii="Arial" w:eastAsia="Arial" w:hAnsi="Arial" w:cs="Arial"/>
          <w:color w:val="000000"/>
          <w:sz w:val="20"/>
          <w:szCs w:val="20"/>
        </w:rPr>
        <w:t>, or recommendations,</w:t>
      </w:r>
      <w:r>
        <w:rPr>
          <w:rFonts w:ascii="Arial" w:eastAsia="Arial" w:hAnsi="Arial" w:cs="Arial"/>
          <w:color w:val="000000"/>
          <w:sz w:val="20"/>
          <w:szCs w:val="20"/>
        </w:rPr>
        <w:t xml:space="preserve"> to the relevant dean within 2 </w:t>
      </w:r>
      <w:r w:rsidR="008A2D8E">
        <w:rPr>
          <w:rFonts w:ascii="Arial" w:eastAsia="Arial" w:hAnsi="Arial" w:cs="Arial"/>
          <w:color w:val="000000"/>
          <w:sz w:val="20"/>
          <w:szCs w:val="20"/>
        </w:rPr>
        <w:t xml:space="preserve">University </w:t>
      </w:r>
      <w:r>
        <w:rPr>
          <w:rFonts w:ascii="Arial" w:eastAsia="Arial" w:hAnsi="Arial" w:cs="Arial"/>
          <w:color w:val="000000"/>
          <w:sz w:val="20"/>
          <w:szCs w:val="20"/>
        </w:rPr>
        <w:t>business days:</w:t>
      </w:r>
    </w:p>
    <w:p w14:paraId="61BC4952" w14:textId="77777777" w:rsidR="00982D06" w:rsidRDefault="00D96E42">
      <w:pPr>
        <w:pBdr>
          <w:left w:val="none" w:sz="0" w:space="22" w:color="auto"/>
        </w:pBdr>
        <w:spacing w:after="280" w:afterAutospacing="1"/>
        <w:rPr>
          <w:rFonts w:ascii="Arial" w:eastAsia="Arial" w:hAnsi="Arial" w:cs="Arial"/>
          <w:color w:val="000000"/>
          <w:sz w:val="20"/>
          <w:szCs w:val="20"/>
        </w:rPr>
      </w:pPr>
      <w:r>
        <w:rPr>
          <w:rFonts w:ascii="Arial" w:eastAsia="Arial" w:hAnsi="Arial" w:cs="Arial"/>
          <w:color w:val="000000"/>
          <w:sz w:val="20"/>
          <w:szCs w:val="20"/>
        </w:rPr>
        <w:t>(a) of receipt of the report of the meeting; or</w:t>
      </w:r>
    </w:p>
    <w:p w14:paraId="0F55BDB0" w14:textId="77777777" w:rsidR="00982D06" w:rsidRDefault="00D96E42">
      <w:pPr>
        <w:pBdr>
          <w:left w:val="none" w:sz="0" w:space="22" w:color="auto"/>
        </w:pBdr>
        <w:spacing w:after="280" w:afterAutospacing="1"/>
        <w:rPr>
          <w:rFonts w:ascii="Arial" w:eastAsia="Arial" w:hAnsi="Arial" w:cs="Arial"/>
          <w:color w:val="000000"/>
          <w:sz w:val="20"/>
          <w:szCs w:val="20"/>
        </w:rPr>
      </w:pPr>
      <w:r>
        <w:rPr>
          <w:rFonts w:ascii="Arial" w:eastAsia="Arial" w:hAnsi="Arial" w:cs="Arial"/>
          <w:color w:val="000000"/>
          <w:sz w:val="20"/>
          <w:szCs w:val="20"/>
        </w:rPr>
        <w:t>(b) of any deadline set for the student to undertake an action under 5.16 (a)–(e).</w:t>
      </w:r>
    </w:p>
    <w:p w14:paraId="675AB5D1" w14:textId="77777777" w:rsidR="00982D06" w:rsidRDefault="00D96E42">
      <w:pPr>
        <w:spacing w:after="280" w:afterAutospacing="1"/>
        <w:rPr>
          <w:rFonts w:ascii="Arial" w:eastAsia="Arial" w:hAnsi="Arial" w:cs="Arial"/>
          <w:color w:val="000000"/>
          <w:sz w:val="20"/>
          <w:szCs w:val="20"/>
        </w:rPr>
      </w:pPr>
      <w:r>
        <w:rPr>
          <w:rFonts w:ascii="Arial" w:eastAsia="Arial" w:hAnsi="Arial" w:cs="Arial"/>
          <w:color w:val="000000"/>
          <w:sz w:val="20"/>
          <w:szCs w:val="20"/>
        </w:rPr>
        <w:t>5.19. On the recommendation of the Academic Registrar, a dean may:</w:t>
      </w:r>
    </w:p>
    <w:p w14:paraId="1DFE0B90" w14:textId="77777777" w:rsidR="00982D06" w:rsidRDefault="00D96E42">
      <w:pPr>
        <w:pBdr>
          <w:left w:val="none" w:sz="0" w:space="22" w:color="auto"/>
        </w:pBdr>
        <w:spacing w:after="280" w:afterAutospacing="1"/>
        <w:rPr>
          <w:rFonts w:ascii="Arial" w:eastAsia="Arial" w:hAnsi="Arial" w:cs="Arial"/>
          <w:color w:val="000000"/>
          <w:sz w:val="20"/>
          <w:szCs w:val="20"/>
        </w:rPr>
      </w:pPr>
      <w:r>
        <w:rPr>
          <w:rFonts w:ascii="Arial" w:eastAsia="Arial" w:hAnsi="Arial" w:cs="Arial"/>
          <w:color w:val="000000"/>
          <w:sz w:val="20"/>
          <w:szCs w:val="20"/>
        </w:rPr>
        <w:t>(a) dismiss the matter with no further action; or</w:t>
      </w:r>
    </w:p>
    <w:p w14:paraId="360E57B9" w14:textId="65F98A9F" w:rsidR="00982D06" w:rsidRDefault="00D96E42" w:rsidP="00846E0C">
      <w:pPr>
        <w:pBdr>
          <w:left w:val="none" w:sz="0" w:space="22" w:color="auto"/>
        </w:pBdr>
        <w:spacing w:after="280" w:afterAutospacing="1"/>
        <w:rPr>
          <w:rFonts w:ascii="Arial" w:eastAsia="Arial" w:hAnsi="Arial" w:cs="Arial"/>
          <w:color w:val="000000"/>
          <w:sz w:val="20"/>
          <w:szCs w:val="20"/>
        </w:rPr>
      </w:pPr>
      <w:r>
        <w:rPr>
          <w:rFonts w:ascii="Arial" w:eastAsia="Arial" w:hAnsi="Arial" w:cs="Arial"/>
          <w:color w:val="000000"/>
          <w:sz w:val="20"/>
          <w:szCs w:val="20"/>
        </w:rPr>
        <w:t>(b) in accordance with section 3</w:t>
      </w:r>
      <w:r w:rsidR="005330CD">
        <w:rPr>
          <w:rFonts w:ascii="Arial" w:eastAsia="Arial" w:hAnsi="Arial" w:cs="Arial"/>
          <w:color w:val="000000"/>
          <w:sz w:val="20"/>
          <w:szCs w:val="20"/>
        </w:rPr>
        <w:t>1</w:t>
      </w:r>
      <w:r>
        <w:rPr>
          <w:rFonts w:ascii="Arial" w:eastAsia="Arial" w:hAnsi="Arial" w:cs="Arial"/>
          <w:color w:val="000000"/>
          <w:sz w:val="20"/>
          <w:szCs w:val="20"/>
        </w:rPr>
        <w:t xml:space="preserve">(1) of the </w:t>
      </w:r>
      <w:hyperlink r:id="rId23" w:history="1">
        <w:r>
          <w:rPr>
            <w:rFonts w:ascii="Arial" w:eastAsia="Arial" w:hAnsi="Arial" w:cs="Arial"/>
            <w:color w:val="0000FF"/>
            <w:sz w:val="20"/>
            <w:szCs w:val="20"/>
            <w:u w:val="single"/>
          </w:rPr>
          <w:t>Vice Chancellor Regulation</w:t>
        </w:r>
      </w:hyperlink>
      <w:r>
        <w:rPr>
          <w:rFonts w:ascii="Arial" w:eastAsia="Arial" w:hAnsi="Arial" w:cs="Arial"/>
          <w:color w:val="000000"/>
          <w:sz w:val="20"/>
          <w:szCs w:val="20"/>
        </w:rPr>
        <w:t>, decide on an outcome</w:t>
      </w:r>
      <w:r w:rsidR="00CE44E6">
        <w:rPr>
          <w:rFonts w:ascii="Arial" w:eastAsia="Arial" w:hAnsi="Arial" w:cs="Arial"/>
          <w:color w:val="000000"/>
          <w:sz w:val="20"/>
          <w:szCs w:val="20"/>
        </w:rPr>
        <w:t>.</w:t>
      </w:r>
    </w:p>
    <w:p w14:paraId="5F4827D3" w14:textId="309CD770" w:rsidR="00982D06" w:rsidRDefault="00D96E42">
      <w:pPr>
        <w:spacing w:after="280" w:afterAutospacing="1"/>
        <w:rPr>
          <w:rFonts w:ascii="Arial" w:eastAsia="Arial" w:hAnsi="Arial" w:cs="Arial"/>
          <w:color w:val="000000"/>
          <w:sz w:val="20"/>
          <w:szCs w:val="20"/>
        </w:rPr>
      </w:pPr>
      <w:r>
        <w:rPr>
          <w:rFonts w:ascii="Arial" w:eastAsia="Arial" w:hAnsi="Arial" w:cs="Arial"/>
          <w:color w:val="000000"/>
          <w:sz w:val="20"/>
          <w:szCs w:val="20"/>
        </w:rPr>
        <w:t>5.20. Where a student’s enrolment is changed under this policy or section 3</w:t>
      </w:r>
      <w:r w:rsidR="00672DEB">
        <w:rPr>
          <w:rFonts w:ascii="Arial" w:eastAsia="Arial" w:hAnsi="Arial" w:cs="Arial"/>
          <w:color w:val="000000"/>
          <w:sz w:val="20"/>
          <w:szCs w:val="20"/>
        </w:rPr>
        <w:t>1</w:t>
      </w:r>
      <w:r>
        <w:rPr>
          <w:rFonts w:ascii="Arial" w:eastAsia="Arial" w:hAnsi="Arial" w:cs="Arial"/>
          <w:color w:val="000000"/>
          <w:sz w:val="20"/>
          <w:szCs w:val="20"/>
        </w:rPr>
        <w:t xml:space="preserve"> of the </w:t>
      </w:r>
      <w:hyperlink r:id="rId24" w:history="1">
        <w:r>
          <w:rPr>
            <w:rFonts w:ascii="Arial" w:eastAsia="Arial" w:hAnsi="Arial" w:cs="Arial"/>
            <w:color w:val="0000FF"/>
            <w:sz w:val="20"/>
            <w:szCs w:val="20"/>
            <w:u w:val="single"/>
          </w:rPr>
          <w:t>Vice Chancellor Regulation</w:t>
        </w:r>
      </w:hyperlink>
      <w:r>
        <w:rPr>
          <w:rFonts w:ascii="Arial" w:eastAsia="Arial" w:hAnsi="Arial" w:cs="Arial"/>
          <w:color w:val="000000"/>
          <w:sz w:val="20"/>
          <w:szCs w:val="20"/>
        </w:rPr>
        <w:t>, the Academic Registrar must consider whether the student should be compensated for course or subject fees.</w:t>
      </w:r>
    </w:p>
    <w:p w14:paraId="6E2CBEC3" w14:textId="22A3D5F5" w:rsidR="00982D06" w:rsidRDefault="00D96E42">
      <w:pPr>
        <w:spacing w:after="280" w:afterAutospacing="1"/>
        <w:rPr>
          <w:rFonts w:ascii="Arial" w:eastAsia="Arial" w:hAnsi="Arial" w:cs="Arial"/>
          <w:color w:val="000000"/>
          <w:sz w:val="20"/>
          <w:szCs w:val="20"/>
        </w:rPr>
      </w:pPr>
      <w:r>
        <w:rPr>
          <w:rFonts w:ascii="Arial" w:eastAsia="Arial" w:hAnsi="Arial" w:cs="Arial"/>
          <w:color w:val="000000"/>
          <w:sz w:val="20"/>
          <w:szCs w:val="20"/>
        </w:rPr>
        <w:t xml:space="preserve">5.21. Within 5 </w:t>
      </w:r>
      <w:r w:rsidR="008A2D8E">
        <w:rPr>
          <w:rFonts w:ascii="Arial" w:eastAsia="Arial" w:hAnsi="Arial" w:cs="Arial"/>
          <w:color w:val="000000"/>
          <w:sz w:val="20"/>
          <w:szCs w:val="20"/>
        </w:rPr>
        <w:t xml:space="preserve">University </w:t>
      </w:r>
      <w:r>
        <w:rPr>
          <w:rFonts w:ascii="Arial" w:eastAsia="Arial" w:hAnsi="Arial" w:cs="Arial"/>
          <w:color w:val="000000"/>
          <w:sz w:val="20"/>
          <w:szCs w:val="20"/>
        </w:rPr>
        <w:t>business days of receipt of the report from the Fitness to Study Committee, the Academic Registrar must notify the student of:</w:t>
      </w:r>
    </w:p>
    <w:p w14:paraId="459F3B5F" w14:textId="77777777" w:rsidR="00982D06" w:rsidRDefault="00D96E42">
      <w:pPr>
        <w:pBdr>
          <w:left w:val="none" w:sz="0" w:space="22" w:color="auto"/>
        </w:pBdr>
        <w:spacing w:after="280" w:afterAutospacing="1"/>
        <w:rPr>
          <w:rFonts w:ascii="Arial" w:eastAsia="Arial" w:hAnsi="Arial" w:cs="Arial"/>
          <w:color w:val="000000"/>
          <w:sz w:val="20"/>
          <w:szCs w:val="20"/>
        </w:rPr>
      </w:pPr>
      <w:r>
        <w:rPr>
          <w:rFonts w:ascii="Arial" w:eastAsia="Arial" w:hAnsi="Arial" w:cs="Arial"/>
          <w:color w:val="000000"/>
          <w:sz w:val="20"/>
          <w:szCs w:val="20"/>
        </w:rPr>
        <w:t>(a) any recommendation and / or decision taken under section 5.16 of this policy;</w:t>
      </w:r>
    </w:p>
    <w:p w14:paraId="08B58129" w14:textId="38F07FCE" w:rsidR="00982D06" w:rsidRDefault="00D96E42">
      <w:pPr>
        <w:pBdr>
          <w:left w:val="none" w:sz="0" w:space="22" w:color="auto"/>
        </w:pBdr>
        <w:spacing w:after="280" w:afterAutospacing="1"/>
        <w:rPr>
          <w:rFonts w:ascii="Arial" w:eastAsia="Arial" w:hAnsi="Arial" w:cs="Arial"/>
          <w:color w:val="000000"/>
          <w:sz w:val="20"/>
          <w:szCs w:val="20"/>
        </w:rPr>
      </w:pPr>
      <w:r>
        <w:rPr>
          <w:rFonts w:ascii="Arial" w:eastAsia="Arial" w:hAnsi="Arial" w:cs="Arial"/>
          <w:color w:val="000000"/>
          <w:sz w:val="20"/>
          <w:szCs w:val="20"/>
        </w:rPr>
        <w:t xml:space="preserve">(b) any decision made by the relevant dean under section </w:t>
      </w:r>
      <w:r w:rsidR="00C41901">
        <w:rPr>
          <w:rFonts w:ascii="Arial" w:eastAsia="Arial" w:hAnsi="Arial" w:cs="Arial"/>
          <w:color w:val="000000"/>
          <w:sz w:val="20"/>
          <w:szCs w:val="20"/>
        </w:rPr>
        <w:t xml:space="preserve">31 </w:t>
      </w:r>
      <w:r>
        <w:rPr>
          <w:rFonts w:ascii="Arial" w:eastAsia="Arial" w:hAnsi="Arial" w:cs="Arial"/>
          <w:color w:val="000000"/>
          <w:sz w:val="20"/>
          <w:szCs w:val="20"/>
        </w:rPr>
        <w:t xml:space="preserve">of the </w:t>
      </w:r>
      <w:hyperlink r:id="rId25" w:history="1">
        <w:r>
          <w:rPr>
            <w:rFonts w:ascii="Arial" w:eastAsia="Arial" w:hAnsi="Arial" w:cs="Arial"/>
            <w:color w:val="0000FF"/>
            <w:sz w:val="20"/>
            <w:szCs w:val="20"/>
            <w:u w:val="single"/>
          </w:rPr>
          <w:t>Vice Chancellor Regulation</w:t>
        </w:r>
      </w:hyperlink>
      <w:r>
        <w:rPr>
          <w:rFonts w:ascii="Arial" w:eastAsia="Arial" w:hAnsi="Arial" w:cs="Arial"/>
          <w:color w:val="000000"/>
          <w:sz w:val="20"/>
          <w:szCs w:val="20"/>
        </w:rPr>
        <w:t>; and</w:t>
      </w:r>
    </w:p>
    <w:p w14:paraId="3628A69C" w14:textId="7D63C365" w:rsidR="00982D06" w:rsidRDefault="00D96E42">
      <w:pPr>
        <w:pBdr>
          <w:left w:val="none" w:sz="0" w:space="22" w:color="auto"/>
        </w:pBdr>
        <w:spacing w:after="280" w:afterAutospacing="1"/>
        <w:rPr>
          <w:rFonts w:ascii="Arial" w:eastAsia="Arial" w:hAnsi="Arial" w:cs="Arial"/>
          <w:color w:val="000000"/>
          <w:sz w:val="20"/>
          <w:szCs w:val="20"/>
        </w:rPr>
      </w:pPr>
      <w:r>
        <w:rPr>
          <w:rFonts w:ascii="Arial" w:eastAsia="Arial" w:hAnsi="Arial" w:cs="Arial"/>
          <w:color w:val="000000"/>
          <w:sz w:val="20"/>
          <w:szCs w:val="20"/>
        </w:rPr>
        <w:t xml:space="preserve">(c) any right of appeal under Part 7 of the </w:t>
      </w:r>
      <w:hyperlink r:id="rId26" w:history="1">
        <w:r>
          <w:rPr>
            <w:rFonts w:ascii="Arial" w:eastAsia="Arial" w:hAnsi="Arial" w:cs="Arial"/>
            <w:color w:val="0000FF"/>
            <w:sz w:val="20"/>
            <w:szCs w:val="20"/>
            <w:u w:val="single"/>
          </w:rPr>
          <w:t>Vice Chancellor Regulation</w:t>
        </w:r>
      </w:hyperlink>
      <w:r>
        <w:rPr>
          <w:rFonts w:ascii="Arial" w:eastAsia="Arial" w:hAnsi="Arial" w:cs="Arial"/>
          <w:color w:val="000000"/>
          <w:sz w:val="20"/>
          <w:szCs w:val="20"/>
        </w:rPr>
        <w:t>.</w:t>
      </w:r>
    </w:p>
    <w:p w14:paraId="508C88A9" w14:textId="77777777" w:rsidR="00982D06" w:rsidRDefault="00D96E42">
      <w:pPr>
        <w:pStyle w:val="Heading3"/>
      </w:pPr>
      <w:r>
        <w:t>Return to study</w:t>
      </w:r>
    </w:p>
    <w:p w14:paraId="3A639B01" w14:textId="385FBC48" w:rsidR="00982D06" w:rsidRDefault="00D96E42">
      <w:pPr>
        <w:spacing w:after="280" w:afterAutospacing="1"/>
        <w:rPr>
          <w:rFonts w:ascii="Arial" w:eastAsia="Arial" w:hAnsi="Arial" w:cs="Arial"/>
          <w:color w:val="000000"/>
          <w:sz w:val="20"/>
          <w:szCs w:val="20"/>
        </w:rPr>
      </w:pPr>
      <w:r>
        <w:rPr>
          <w:rFonts w:ascii="Arial" w:eastAsia="Arial" w:hAnsi="Arial" w:cs="Arial"/>
          <w:color w:val="000000"/>
          <w:sz w:val="20"/>
          <w:szCs w:val="20"/>
        </w:rPr>
        <w:t xml:space="preserve">5.22. A dean may permit </w:t>
      </w:r>
      <w:r w:rsidR="005D1A95">
        <w:rPr>
          <w:rFonts w:ascii="Arial" w:eastAsia="Arial" w:hAnsi="Arial" w:cs="Arial"/>
          <w:color w:val="000000"/>
          <w:sz w:val="20"/>
          <w:szCs w:val="20"/>
        </w:rPr>
        <w:t xml:space="preserve">a </w:t>
      </w:r>
      <w:r>
        <w:rPr>
          <w:rFonts w:ascii="Arial" w:eastAsia="Arial" w:hAnsi="Arial" w:cs="Arial"/>
          <w:color w:val="000000"/>
          <w:sz w:val="20"/>
          <w:szCs w:val="20"/>
        </w:rPr>
        <w:t xml:space="preserve">student, whose enrolment is suspended or prohibited under section </w:t>
      </w:r>
      <w:r w:rsidR="00FD0DCF">
        <w:rPr>
          <w:rFonts w:ascii="Arial" w:eastAsia="Arial" w:hAnsi="Arial" w:cs="Arial"/>
          <w:color w:val="000000"/>
          <w:sz w:val="20"/>
          <w:szCs w:val="20"/>
        </w:rPr>
        <w:t>31</w:t>
      </w:r>
      <w:r>
        <w:rPr>
          <w:rFonts w:ascii="Arial" w:eastAsia="Arial" w:hAnsi="Arial" w:cs="Arial"/>
          <w:color w:val="000000"/>
          <w:sz w:val="20"/>
          <w:szCs w:val="20"/>
        </w:rPr>
        <w:t xml:space="preserve">(1) of the </w:t>
      </w:r>
      <w:hyperlink r:id="rId27" w:history="1">
        <w:r>
          <w:rPr>
            <w:rFonts w:ascii="Arial" w:eastAsia="Arial" w:hAnsi="Arial" w:cs="Arial"/>
            <w:color w:val="0000FF"/>
            <w:sz w:val="20"/>
            <w:szCs w:val="20"/>
            <w:u w:val="single"/>
          </w:rPr>
          <w:t>Vice Chancellor Regulation</w:t>
        </w:r>
      </w:hyperlink>
      <w:r>
        <w:rPr>
          <w:rFonts w:ascii="Arial" w:eastAsia="Arial" w:hAnsi="Arial" w:cs="Arial"/>
          <w:color w:val="000000"/>
          <w:sz w:val="20"/>
          <w:szCs w:val="20"/>
        </w:rPr>
        <w:t>, to return to study where a return to study is appropriate and the dean is satisfied that the student has complied with any conditions attached to the return.</w:t>
      </w:r>
    </w:p>
    <w:p w14:paraId="1A3E4683" w14:textId="77777777" w:rsidR="00982D06" w:rsidRDefault="00D96E42">
      <w:pPr>
        <w:pStyle w:val="Heading3"/>
      </w:pPr>
      <w:r>
        <w:t>Confidentiality</w:t>
      </w:r>
    </w:p>
    <w:p w14:paraId="6223DE90" w14:textId="77777777" w:rsidR="00982D06" w:rsidRDefault="00D96E42">
      <w:pPr>
        <w:spacing w:after="280" w:afterAutospacing="1"/>
        <w:rPr>
          <w:rFonts w:ascii="Arial" w:eastAsia="Arial" w:hAnsi="Arial" w:cs="Arial"/>
          <w:color w:val="000000"/>
          <w:sz w:val="20"/>
          <w:szCs w:val="20"/>
        </w:rPr>
      </w:pPr>
      <w:r>
        <w:rPr>
          <w:rFonts w:ascii="Arial" w:eastAsia="Arial" w:hAnsi="Arial" w:cs="Arial"/>
          <w:color w:val="000000"/>
          <w:sz w:val="20"/>
          <w:szCs w:val="20"/>
        </w:rPr>
        <w:t>5.23. Any person or committee who exercises any power or carries out any function under this policy or hears any appeal must treat the matter in the strictest confidence, except where necessary for the discharge of that person’s or committee’s responsibilities under to this policy or as otherwise required or permitted by law.</w:t>
      </w:r>
    </w:p>
    <w:p w14:paraId="151E2563" w14:textId="77777777" w:rsidR="00982D06" w:rsidRDefault="00D96E42">
      <w:pPr>
        <w:pStyle w:val="Heading2"/>
      </w:pPr>
      <w:r>
        <w:lastRenderedPageBreak/>
        <w:t>6. Roles and responsibilities</w:t>
      </w: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4393"/>
        <w:gridCol w:w="2375"/>
        <w:gridCol w:w="1856"/>
      </w:tblGrid>
      <w:tr w:rsidR="00982D06" w14:paraId="2CDFF28F" w14:textId="77777777" w:rsidTr="6F2E7268">
        <w:tc>
          <w:tcPr>
            <w:tcW w:w="2547" w:type="pct"/>
            <w:tcBorders>
              <w:top w:val="outset" w:sz="6" w:space="0" w:color="auto"/>
              <w:left w:val="outset" w:sz="6" w:space="0" w:color="auto"/>
              <w:bottom w:val="outset" w:sz="6" w:space="0" w:color="auto"/>
              <w:right w:val="outset" w:sz="6" w:space="0" w:color="auto"/>
            </w:tcBorders>
          </w:tcPr>
          <w:p w14:paraId="408D1018" w14:textId="77777777" w:rsidR="00982D06" w:rsidRDefault="00D96E42">
            <w:pPr>
              <w:rPr>
                <w:rFonts w:ascii="Arial" w:eastAsia="Arial" w:hAnsi="Arial" w:cs="Arial"/>
                <w:color w:val="000000"/>
                <w:sz w:val="20"/>
                <w:szCs w:val="20"/>
              </w:rPr>
            </w:pPr>
            <w:r>
              <w:rPr>
                <w:rFonts w:ascii="Arial" w:eastAsia="Arial" w:hAnsi="Arial" w:cs="Arial"/>
                <w:b/>
                <w:bCs/>
                <w:i/>
                <w:iCs/>
                <w:color w:val="000000"/>
                <w:sz w:val="20"/>
                <w:szCs w:val="20"/>
              </w:rPr>
              <w:t>Role/Decision/Action</w:t>
            </w:r>
          </w:p>
        </w:tc>
        <w:tc>
          <w:tcPr>
            <w:tcW w:w="1377" w:type="pct"/>
            <w:tcBorders>
              <w:top w:val="outset" w:sz="6" w:space="0" w:color="auto"/>
              <w:left w:val="outset" w:sz="6" w:space="0" w:color="auto"/>
              <w:bottom w:val="outset" w:sz="6" w:space="0" w:color="auto"/>
              <w:right w:val="outset" w:sz="6" w:space="0" w:color="auto"/>
            </w:tcBorders>
          </w:tcPr>
          <w:p w14:paraId="7EAF4D58" w14:textId="77777777" w:rsidR="00982D06" w:rsidRDefault="00D96E42">
            <w:pPr>
              <w:rPr>
                <w:rFonts w:ascii="Arial" w:eastAsia="Arial" w:hAnsi="Arial" w:cs="Arial"/>
                <w:color w:val="000000"/>
                <w:sz w:val="20"/>
                <w:szCs w:val="20"/>
              </w:rPr>
            </w:pPr>
            <w:r>
              <w:rPr>
                <w:rFonts w:ascii="Arial" w:eastAsia="Arial" w:hAnsi="Arial" w:cs="Arial"/>
                <w:b/>
                <w:bCs/>
                <w:i/>
                <w:iCs/>
                <w:color w:val="000000"/>
                <w:sz w:val="20"/>
                <w:szCs w:val="20"/>
              </w:rPr>
              <w:t>Responsibility</w:t>
            </w:r>
          </w:p>
        </w:tc>
        <w:tc>
          <w:tcPr>
            <w:tcW w:w="1076" w:type="pct"/>
            <w:tcBorders>
              <w:top w:val="outset" w:sz="6" w:space="0" w:color="auto"/>
              <w:left w:val="outset" w:sz="6" w:space="0" w:color="auto"/>
              <w:bottom w:val="outset" w:sz="6" w:space="0" w:color="auto"/>
              <w:right w:val="outset" w:sz="6" w:space="0" w:color="auto"/>
            </w:tcBorders>
          </w:tcPr>
          <w:p w14:paraId="26372700" w14:textId="77777777" w:rsidR="00982D06" w:rsidRDefault="00D96E42">
            <w:pPr>
              <w:rPr>
                <w:rFonts w:ascii="Arial" w:eastAsia="Arial" w:hAnsi="Arial" w:cs="Arial"/>
                <w:color w:val="000000"/>
                <w:sz w:val="20"/>
                <w:szCs w:val="20"/>
              </w:rPr>
            </w:pPr>
            <w:r>
              <w:rPr>
                <w:rFonts w:ascii="Arial" w:eastAsia="Arial" w:hAnsi="Arial" w:cs="Arial"/>
                <w:b/>
                <w:bCs/>
                <w:i/>
                <w:iCs/>
                <w:color w:val="000000"/>
                <w:sz w:val="20"/>
                <w:szCs w:val="20"/>
              </w:rPr>
              <w:t>Conditions and limitations</w:t>
            </w:r>
          </w:p>
        </w:tc>
      </w:tr>
      <w:tr w:rsidR="00982D06" w14:paraId="5DBCBC22" w14:textId="77777777" w:rsidTr="6F2E7268">
        <w:tc>
          <w:tcPr>
            <w:tcW w:w="2547" w:type="pct"/>
            <w:tcBorders>
              <w:top w:val="outset" w:sz="6" w:space="0" w:color="auto"/>
              <w:left w:val="outset" w:sz="6" w:space="0" w:color="auto"/>
              <w:bottom w:val="outset" w:sz="6" w:space="0" w:color="auto"/>
              <w:right w:val="outset" w:sz="6" w:space="0" w:color="auto"/>
            </w:tcBorders>
          </w:tcPr>
          <w:p w14:paraId="26691D56" w14:textId="38ABADA5" w:rsidR="00982D06" w:rsidRDefault="00D96E42">
            <w:pPr>
              <w:numPr>
                <w:ilvl w:val="0"/>
                <w:numId w:val="1"/>
              </w:numPr>
              <w:rPr>
                <w:rFonts w:ascii="Arial" w:eastAsia="Arial" w:hAnsi="Arial" w:cs="Arial"/>
                <w:color w:val="000000"/>
                <w:sz w:val="20"/>
                <w:szCs w:val="20"/>
              </w:rPr>
            </w:pPr>
            <w:r>
              <w:rPr>
                <w:rFonts w:ascii="Arial" w:eastAsia="Arial" w:hAnsi="Arial" w:cs="Arial"/>
                <w:color w:val="000000"/>
                <w:sz w:val="20"/>
                <w:szCs w:val="20"/>
              </w:rPr>
              <w:t xml:space="preserve">Receives concerns about </w:t>
            </w:r>
            <w:r w:rsidR="00D53097">
              <w:rPr>
                <w:rFonts w:ascii="Arial" w:eastAsia="Arial" w:hAnsi="Arial" w:cs="Arial"/>
                <w:color w:val="000000"/>
                <w:sz w:val="20"/>
                <w:szCs w:val="20"/>
              </w:rPr>
              <w:t xml:space="preserve">a </w:t>
            </w:r>
            <w:r>
              <w:rPr>
                <w:rFonts w:ascii="Arial" w:eastAsia="Arial" w:hAnsi="Arial" w:cs="Arial"/>
                <w:color w:val="000000"/>
                <w:sz w:val="20"/>
                <w:szCs w:val="20"/>
              </w:rPr>
              <w:t xml:space="preserve">student’s </w:t>
            </w:r>
            <w:r w:rsidR="00D53097">
              <w:rPr>
                <w:rFonts w:ascii="Arial" w:eastAsia="Arial" w:hAnsi="Arial" w:cs="Arial"/>
                <w:color w:val="000000"/>
                <w:sz w:val="20"/>
                <w:szCs w:val="20"/>
              </w:rPr>
              <w:t>conduct</w:t>
            </w:r>
          </w:p>
          <w:p w14:paraId="2C014744" w14:textId="7B24C36F" w:rsidR="00C9164D" w:rsidRPr="00C9164D" w:rsidRDefault="00C9164D" w:rsidP="00C9164D">
            <w:pPr>
              <w:numPr>
                <w:ilvl w:val="0"/>
                <w:numId w:val="1"/>
              </w:numPr>
              <w:rPr>
                <w:rFonts w:ascii="Arial" w:eastAsia="Arial" w:hAnsi="Arial" w:cs="Arial"/>
                <w:color w:val="000000"/>
                <w:sz w:val="20"/>
                <w:szCs w:val="20"/>
              </w:rPr>
            </w:pPr>
            <w:r w:rsidRPr="00F669CC">
              <w:rPr>
                <w:rFonts w:ascii="Arial" w:eastAsia="Arial" w:hAnsi="Arial" w:cs="Arial"/>
                <w:color w:val="000000"/>
                <w:sz w:val="20"/>
                <w:szCs w:val="20"/>
              </w:rPr>
              <w:t>Refers matter to another process and/or support services</w:t>
            </w:r>
          </w:p>
          <w:p w14:paraId="2997275D" w14:textId="60ACCD6F" w:rsidR="00982D06" w:rsidRDefault="00D96E42">
            <w:pPr>
              <w:numPr>
                <w:ilvl w:val="0"/>
                <w:numId w:val="1"/>
              </w:numPr>
              <w:rPr>
                <w:rFonts w:ascii="Arial" w:eastAsia="Arial" w:hAnsi="Arial" w:cs="Arial"/>
                <w:color w:val="000000"/>
                <w:sz w:val="20"/>
                <w:szCs w:val="20"/>
              </w:rPr>
            </w:pPr>
            <w:r>
              <w:rPr>
                <w:rFonts w:ascii="Arial" w:eastAsia="Arial" w:hAnsi="Arial" w:cs="Arial"/>
                <w:color w:val="000000"/>
                <w:sz w:val="20"/>
                <w:szCs w:val="20"/>
              </w:rPr>
              <w:t xml:space="preserve">Nominates a </w:t>
            </w:r>
            <w:r w:rsidR="008C01D0">
              <w:rPr>
                <w:rFonts w:ascii="Arial" w:eastAsia="Arial" w:hAnsi="Arial" w:cs="Arial"/>
                <w:color w:val="000000"/>
                <w:sz w:val="20"/>
                <w:szCs w:val="20"/>
              </w:rPr>
              <w:t>c</w:t>
            </w:r>
            <w:r>
              <w:rPr>
                <w:rFonts w:ascii="Arial" w:eastAsia="Arial" w:hAnsi="Arial" w:cs="Arial"/>
                <w:color w:val="000000"/>
                <w:sz w:val="20"/>
                <w:szCs w:val="20"/>
              </w:rPr>
              <w:t xml:space="preserve">ase </w:t>
            </w:r>
            <w:r w:rsidR="008C01D0">
              <w:rPr>
                <w:rFonts w:ascii="Arial" w:eastAsia="Arial" w:hAnsi="Arial" w:cs="Arial"/>
                <w:color w:val="000000"/>
                <w:sz w:val="20"/>
                <w:szCs w:val="20"/>
              </w:rPr>
              <w:t>c</w:t>
            </w:r>
            <w:r>
              <w:rPr>
                <w:rFonts w:ascii="Arial" w:eastAsia="Arial" w:hAnsi="Arial" w:cs="Arial"/>
                <w:color w:val="000000"/>
                <w:sz w:val="20"/>
                <w:szCs w:val="20"/>
              </w:rPr>
              <w:t>oordinator</w:t>
            </w:r>
            <w:r w:rsidR="00241073">
              <w:rPr>
                <w:rFonts w:ascii="Arial" w:eastAsia="Arial" w:hAnsi="Arial" w:cs="Arial"/>
                <w:color w:val="000000"/>
                <w:sz w:val="20"/>
                <w:szCs w:val="20"/>
              </w:rPr>
              <w:t xml:space="preserve"> </w:t>
            </w:r>
            <w:r w:rsidR="00241073" w:rsidRPr="00F669CC">
              <w:rPr>
                <w:rFonts w:ascii="Arial" w:eastAsia="Arial" w:hAnsi="Arial" w:cs="Arial"/>
                <w:color w:val="000000"/>
                <w:sz w:val="20"/>
                <w:szCs w:val="20"/>
              </w:rPr>
              <w:t xml:space="preserve">if </w:t>
            </w:r>
            <w:r w:rsidR="00CB4A4E">
              <w:rPr>
                <w:rFonts w:ascii="Arial" w:eastAsia="Arial" w:hAnsi="Arial" w:cs="Arial"/>
                <w:color w:val="000000"/>
                <w:sz w:val="20"/>
                <w:szCs w:val="20"/>
              </w:rPr>
              <w:t>concern</w:t>
            </w:r>
            <w:r w:rsidR="00241073">
              <w:rPr>
                <w:rFonts w:ascii="Arial" w:eastAsia="Arial" w:hAnsi="Arial" w:cs="Arial"/>
                <w:color w:val="000000"/>
                <w:sz w:val="20"/>
                <w:szCs w:val="20"/>
              </w:rPr>
              <w:t xml:space="preserve"> is a </w:t>
            </w:r>
            <w:r w:rsidR="00241073" w:rsidRPr="00F669CC">
              <w:rPr>
                <w:rFonts w:ascii="Arial" w:eastAsia="Arial" w:hAnsi="Arial" w:cs="Arial"/>
                <w:color w:val="000000"/>
                <w:sz w:val="20"/>
                <w:szCs w:val="20"/>
              </w:rPr>
              <w:t>potential fitness to study issue</w:t>
            </w:r>
          </w:p>
          <w:p w14:paraId="423D7D31" w14:textId="1C9D125B" w:rsidR="00982D06" w:rsidRDefault="00D96E42">
            <w:pPr>
              <w:numPr>
                <w:ilvl w:val="0"/>
                <w:numId w:val="1"/>
              </w:numPr>
              <w:rPr>
                <w:rFonts w:ascii="Arial" w:eastAsia="Arial" w:hAnsi="Arial" w:cs="Arial"/>
                <w:color w:val="000000"/>
                <w:sz w:val="20"/>
                <w:szCs w:val="20"/>
              </w:rPr>
            </w:pPr>
            <w:r>
              <w:rPr>
                <w:rFonts w:ascii="Arial" w:eastAsia="Arial" w:hAnsi="Arial" w:cs="Arial"/>
                <w:color w:val="000000"/>
                <w:sz w:val="20"/>
                <w:szCs w:val="20"/>
              </w:rPr>
              <w:t xml:space="preserve">Establishes </w:t>
            </w:r>
            <w:r w:rsidR="00241073">
              <w:rPr>
                <w:rFonts w:ascii="Arial" w:eastAsia="Arial" w:hAnsi="Arial" w:cs="Arial"/>
                <w:color w:val="000000"/>
                <w:sz w:val="20"/>
                <w:szCs w:val="20"/>
              </w:rPr>
              <w:t xml:space="preserve">a </w:t>
            </w:r>
            <w:r>
              <w:rPr>
                <w:rFonts w:ascii="Arial" w:eastAsia="Arial" w:hAnsi="Arial" w:cs="Arial"/>
                <w:color w:val="000000"/>
                <w:sz w:val="20"/>
                <w:szCs w:val="20"/>
              </w:rPr>
              <w:t>Fitness to Study Advisory Group and</w:t>
            </w:r>
            <w:r w:rsidR="00045124">
              <w:rPr>
                <w:rFonts w:ascii="Arial" w:eastAsia="Arial" w:hAnsi="Arial" w:cs="Arial"/>
                <w:color w:val="000000"/>
                <w:sz w:val="20"/>
                <w:szCs w:val="20"/>
              </w:rPr>
              <w:t xml:space="preserve">, if the matter is not resolved with the provision of appropriate supports, establishes a </w:t>
            </w:r>
            <w:r>
              <w:rPr>
                <w:rFonts w:ascii="Arial" w:eastAsia="Arial" w:hAnsi="Arial" w:cs="Arial"/>
                <w:color w:val="000000"/>
                <w:sz w:val="20"/>
                <w:szCs w:val="20"/>
              </w:rPr>
              <w:t>Fitness to Study Committee</w:t>
            </w:r>
          </w:p>
          <w:p w14:paraId="4BF88EE0" w14:textId="1403D949" w:rsidR="00982D06" w:rsidRDefault="00D96E42">
            <w:pPr>
              <w:numPr>
                <w:ilvl w:val="0"/>
                <w:numId w:val="1"/>
              </w:numPr>
              <w:rPr>
                <w:rFonts w:ascii="Arial" w:eastAsia="Arial" w:hAnsi="Arial" w:cs="Arial"/>
                <w:color w:val="000000"/>
                <w:sz w:val="20"/>
                <w:szCs w:val="20"/>
              </w:rPr>
            </w:pPr>
            <w:r>
              <w:rPr>
                <w:rFonts w:ascii="Arial" w:eastAsia="Arial" w:hAnsi="Arial" w:cs="Arial"/>
                <w:color w:val="000000"/>
                <w:sz w:val="20"/>
                <w:szCs w:val="20"/>
              </w:rPr>
              <w:t xml:space="preserve">Ensures student </w:t>
            </w:r>
            <w:r w:rsidR="00045124">
              <w:rPr>
                <w:rFonts w:ascii="Arial" w:eastAsia="Arial" w:hAnsi="Arial" w:cs="Arial"/>
                <w:color w:val="000000"/>
                <w:sz w:val="20"/>
                <w:szCs w:val="20"/>
              </w:rPr>
              <w:t xml:space="preserve">receives timely </w:t>
            </w:r>
            <w:r>
              <w:rPr>
                <w:rFonts w:ascii="Arial" w:eastAsia="Arial" w:hAnsi="Arial" w:cs="Arial"/>
                <w:color w:val="000000"/>
                <w:sz w:val="20"/>
                <w:szCs w:val="20"/>
              </w:rPr>
              <w:t>notification of meeting</w:t>
            </w:r>
            <w:r w:rsidR="00045124">
              <w:rPr>
                <w:rFonts w:ascii="Arial" w:eastAsia="Arial" w:hAnsi="Arial" w:cs="Arial"/>
                <w:color w:val="000000"/>
                <w:sz w:val="20"/>
                <w:szCs w:val="20"/>
              </w:rPr>
              <w:t>s</w:t>
            </w:r>
          </w:p>
          <w:p w14:paraId="72B38282" w14:textId="063FB4F1" w:rsidR="00030EE2" w:rsidRPr="00030EE2" w:rsidRDefault="00030EE2" w:rsidP="00030EE2">
            <w:pPr>
              <w:numPr>
                <w:ilvl w:val="0"/>
                <w:numId w:val="1"/>
              </w:numPr>
              <w:rPr>
                <w:rFonts w:ascii="Arial" w:eastAsia="Arial" w:hAnsi="Arial" w:cs="Arial"/>
                <w:color w:val="000000"/>
                <w:sz w:val="20"/>
                <w:szCs w:val="20"/>
              </w:rPr>
            </w:pPr>
            <w:r>
              <w:rPr>
                <w:rFonts w:ascii="Arial" w:eastAsia="Arial" w:hAnsi="Arial" w:cs="Arial"/>
                <w:color w:val="000000"/>
                <w:sz w:val="20"/>
                <w:szCs w:val="20"/>
              </w:rPr>
              <w:t>Considers advice and supporting documentation from the case coordinator and if appropriate establishes a Fitness to Study Committee to advise the Academic Registrar on the matter</w:t>
            </w:r>
          </w:p>
          <w:p w14:paraId="198E0B8F" w14:textId="77777777" w:rsidR="00982D06" w:rsidRDefault="00D96E42">
            <w:pPr>
              <w:numPr>
                <w:ilvl w:val="0"/>
                <w:numId w:val="1"/>
              </w:numPr>
              <w:rPr>
                <w:rFonts w:ascii="Arial" w:eastAsia="Arial" w:hAnsi="Arial" w:cs="Arial"/>
                <w:color w:val="000000"/>
                <w:sz w:val="20"/>
                <w:szCs w:val="20"/>
              </w:rPr>
            </w:pPr>
            <w:r>
              <w:rPr>
                <w:rFonts w:ascii="Arial" w:eastAsia="Arial" w:hAnsi="Arial" w:cs="Arial"/>
                <w:color w:val="000000"/>
                <w:sz w:val="20"/>
                <w:szCs w:val="20"/>
              </w:rPr>
              <w:t>Makes recommendations based on a report from a Fitness to Study Committee</w:t>
            </w:r>
          </w:p>
          <w:p w14:paraId="795E1ACD" w14:textId="2AF01CAD" w:rsidR="00982D06" w:rsidRDefault="00D96E42">
            <w:pPr>
              <w:numPr>
                <w:ilvl w:val="0"/>
                <w:numId w:val="1"/>
              </w:numPr>
              <w:rPr>
                <w:rFonts w:ascii="Arial" w:eastAsia="Arial" w:hAnsi="Arial" w:cs="Arial"/>
                <w:color w:val="000000"/>
                <w:sz w:val="20"/>
                <w:szCs w:val="20"/>
              </w:rPr>
            </w:pPr>
            <w:r>
              <w:rPr>
                <w:rFonts w:ascii="Arial" w:eastAsia="Arial" w:hAnsi="Arial" w:cs="Arial"/>
                <w:color w:val="000000"/>
                <w:sz w:val="20"/>
                <w:szCs w:val="20"/>
              </w:rPr>
              <w:t>Ensures the student is informed of outcome of the meeting of a Fitness to Study Committee</w:t>
            </w:r>
            <w:r w:rsidR="00B36290">
              <w:rPr>
                <w:rFonts w:ascii="Arial" w:eastAsia="Arial" w:hAnsi="Arial" w:cs="Arial"/>
                <w:color w:val="000000"/>
                <w:sz w:val="20"/>
                <w:szCs w:val="20"/>
              </w:rPr>
              <w:t>,</w:t>
            </w:r>
            <w:r>
              <w:rPr>
                <w:rFonts w:ascii="Arial" w:eastAsia="Arial" w:hAnsi="Arial" w:cs="Arial"/>
                <w:color w:val="000000"/>
                <w:sz w:val="20"/>
                <w:szCs w:val="20"/>
              </w:rPr>
              <w:t xml:space="preserve"> and any decision by the dean</w:t>
            </w:r>
            <w:r w:rsidR="00B36290">
              <w:rPr>
                <w:rFonts w:ascii="Arial" w:eastAsia="Arial" w:hAnsi="Arial" w:cs="Arial"/>
                <w:color w:val="000000"/>
                <w:sz w:val="20"/>
                <w:szCs w:val="20"/>
              </w:rPr>
              <w:t xml:space="preserve"> in relation to a return to study plan</w:t>
            </w:r>
          </w:p>
          <w:p w14:paraId="014F9D1D" w14:textId="45CDE765" w:rsidR="00982D06" w:rsidRDefault="00117E4C">
            <w:pPr>
              <w:numPr>
                <w:ilvl w:val="0"/>
                <w:numId w:val="1"/>
              </w:numPr>
              <w:rPr>
                <w:rFonts w:ascii="Arial" w:eastAsia="Arial" w:hAnsi="Arial" w:cs="Arial"/>
                <w:color w:val="000000"/>
                <w:sz w:val="20"/>
                <w:szCs w:val="20"/>
              </w:rPr>
            </w:pPr>
            <w:r>
              <w:rPr>
                <w:rFonts w:ascii="Arial" w:eastAsia="Arial" w:hAnsi="Arial" w:cs="Arial"/>
                <w:color w:val="000000"/>
                <w:sz w:val="20"/>
                <w:szCs w:val="20"/>
              </w:rPr>
              <w:t xml:space="preserve">Consults with the Fitness to Study Committee o9n </w:t>
            </w:r>
            <w:r w:rsidR="00D96E42">
              <w:rPr>
                <w:rFonts w:ascii="Arial" w:eastAsia="Arial" w:hAnsi="Arial" w:cs="Arial"/>
                <w:color w:val="000000"/>
                <w:sz w:val="20"/>
                <w:szCs w:val="20"/>
              </w:rPr>
              <w:t>whether a student has complied with conditions to return in study.</w:t>
            </w:r>
          </w:p>
          <w:p w14:paraId="225E75BC" w14:textId="5D94E929" w:rsidR="00117E4C" w:rsidRPr="00117E4C" w:rsidRDefault="00117E4C" w:rsidP="00117E4C">
            <w:pPr>
              <w:numPr>
                <w:ilvl w:val="0"/>
                <w:numId w:val="1"/>
              </w:numPr>
              <w:rPr>
                <w:rFonts w:ascii="Arial" w:eastAsia="Arial" w:hAnsi="Arial" w:cs="Arial"/>
                <w:color w:val="000000"/>
                <w:sz w:val="20"/>
                <w:szCs w:val="20"/>
              </w:rPr>
            </w:pPr>
            <w:r>
              <w:rPr>
                <w:rFonts w:ascii="Arial" w:eastAsia="Arial" w:hAnsi="Arial" w:cs="Arial"/>
                <w:color w:val="000000"/>
                <w:sz w:val="20"/>
                <w:szCs w:val="20"/>
              </w:rPr>
              <w:t>Informs student of decision of the dean and appeal rights</w:t>
            </w:r>
          </w:p>
        </w:tc>
        <w:tc>
          <w:tcPr>
            <w:tcW w:w="1377" w:type="pct"/>
            <w:tcBorders>
              <w:top w:val="outset" w:sz="6" w:space="0" w:color="auto"/>
              <w:left w:val="outset" w:sz="6" w:space="0" w:color="auto"/>
              <w:bottom w:val="outset" w:sz="6" w:space="0" w:color="auto"/>
              <w:right w:val="outset" w:sz="6" w:space="0" w:color="auto"/>
            </w:tcBorders>
          </w:tcPr>
          <w:p w14:paraId="1CD76665" w14:textId="77777777" w:rsidR="00982D06" w:rsidRDefault="00D96E42">
            <w:pPr>
              <w:rPr>
                <w:rFonts w:ascii="Arial" w:eastAsia="Arial" w:hAnsi="Arial" w:cs="Arial"/>
                <w:color w:val="000000"/>
                <w:sz w:val="20"/>
                <w:szCs w:val="20"/>
              </w:rPr>
            </w:pPr>
            <w:r>
              <w:rPr>
                <w:rFonts w:ascii="Arial" w:eastAsia="Arial" w:hAnsi="Arial" w:cs="Arial"/>
                <w:color w:val="000000"/>
                <w:sz w:val="20"/>
                <w:szCs w:val="20"/>
              </w:rPr>
              <w:t>Academic Registrar</w:t>
            </w:r>
          </w:p>
        </w:tc>
        <w:tc>
          <w:tcPr>
            <w:tcW w:w="1076" w:type="pct"/>
            <w:tcBorders>
              <w:top w:val="outset" w:sz="6" w:space="0" w:color="auto"/>
              <w:left w:val="outset" w:sz="6" w:space="0" w:color="auto"/>
              <w:bottom w:val="outset" w:sz="6" w:space="0" w:color="auto"/>
              <w:right w:val="outset" w:sz="6" w:space="0" w:color="auto"/>
            </w:tcBorders>
          </w:tcPr>
          <w:p w14:paraId="0E7FF3E8" w14:textId="77777777" w:rsidR="00982D06" w:rsidRDefault="00D96E42">
            <w:pPr>
              <w:rPr>
                <w:rFonts w:ascii="Arial" w:eastAsia="Arial" w:hAnsi="Arial" w:cs="Arial"/>
                <w:color w:val="000000"/>
                <w:sz w:val="20"/>
                <w:szCs w:val="20"/>
              </w:rPr>
            </w:pPr>
            <w:r>
              <w:rPr>
                <w:rFonts w:ascii="Arial" w:eastAsia="Arial" w:hAnsi="Arial" w:cs="Arial"/>
                <w:color w:val="000000"/>
                <w:sz w:val="20"/>
                <w:szCs w:val="20"/>
              </w:rPr>
              <w:t>In accordance with this policy</w:t>
            </w:r>
          </w:p>
        </w:tc>
      </w:tr>
      <w:tr w:rsidR="00982D06" w14:paraId="1D710183" w14:textId="77777777" w:rsidTr="6F2E7268">
        <w:tc>
          <w:tcPr>
            <w:tcW w:w="2547" w:type="pct"/>
            <w:tcBorders>
              <w:top w:val="outset" w:sz="6" w:space="0" w:color="auto"/>
              <w:left w:val="outset" w:sz="6" w:space="0" w:color="auto"/>
              <w:bottom w:val="outset" w:sz="6" w:space="0" w:color="auto"/>
              <w:right w:val="outset" w:sz="6" w:space="0" w:color="auto"/>
            </w:tcBorders>
          </w:tcPr>
          <w:p w14:paraId="35D861B0" w14:textId="6CD6F691" w:rsidR="005B6A7B" w:rsidRDefault="005B6A7B" w:rsidP="0097103F">
            <w:pPr>
              <w:numPr>
                <w:ilvl w:val="0"/>
                <w:numId w:val="2"/>
              </w:numPr>
              <w:rPr>
                <w:rFonts w:ascii="Arial" w:eastAsia="Arial" w:hAnsi="Arial" w:cs="Arial"/>
                <w:color w:val="000000"/>
                <w:sz w:val="20"/>
                <w:szCs w:val="20"/>
              </w:rPr>
            </w:pPr>
            <w:r>
              <w:rPr>
                <w:rFonts w:ascii="Arial" w:eastAsia="Arial" w:hAnsi="Arial" w:cs="Arial"/>
                <w:color w:val="000000"/>
                <w:sz w:val="20"/>
                <w:szCs w:val="20"/>
              </w:rPr>
              <w:t xml:space="preserve">Received advice from the Academic Registrar related to a </w:t>
            </w:r>
            <w:r w:rsidR="00CB4A4E">
              <w:rPr>
                <w:rFonts w:ascii="Arial" w:eastAsia="Arial" w:hAnsi="Arial" w:cs="Arial"/>
                <w:color w:val="000000"/>
                <w:sz w:val="20"/>
                <w:szCs w:val="20"/>
              </w:rPr>
              <w:t xml:space="preserve">fitness to study </w:t>
            </w:r>
            <w:r>
              <w:rPr>
                <w:rFonts w:ascii="Arial" w:eastAsia="Arial" w:hAnsi="Arial" w:cs="Arial"/>
                <w:color w:val="000000"/>
                <w:sz w:val="20"/>
                <w:szCs w:val="20"/>
              </w:rPr>
              <w:t>concern</w:t>
            </w:r>
          </w:p>
          <w:p w14:paraId="325722EC" w14:textId="1588A2C0" w:rsidR="0097103F" w:rsidRPr="0097103F" w:rsidRDefault="0097103F" w:rsidP="0097103F">
            <w:pPr>
              <w:numPr>
                <w:ilvl w:val="0"/>
                <w:numId w:val="2"/>
              </w:numPr>
              <w:rPr>
                <w:rFonts w:ascii="Arial" w:eastAsia="Arial" w:hAnsi="Arial" w:cs="Arial"/>
                <w:color w:val="000000"/>
                <w:sz w:val="20"/>
                <w:szCs w:val="20"/>
              </w:rPr>
            </w:pPr>
            <w:r>
              <w:rPr>
                <w:rFonts w:ascii="Arial" w:eastAsia="Arial" w:hAnsi="Arial" w:cs="Arial"/>
                <w:color w:val="000000"/>
                <w:sz w:val="20"/>
                <w:szCs w:val="20"/>
              </w:rPr>
              <w:t>Liaises with Fitness to Study Officer or Faculty Wellbeing Officer</w:t>
            </w:r>
            <w:r w:rsidR="004F1099">
              <w:rPr>
                <w:rFonts w:ascii="Arial" w:eastAsia="Arial" w:hAnsi="Arial" w:cs="Arial"/>
                <w:color w:val="000000"/>
                <w:sz w:val="20"/>
                <w:szCs w:val="20"/>
              </w:rPr>
              <w:t>,</w:t>
            </w:r>
            <w:r w:rsidR="003D2A3D">
              <w:rPr>
                <w:rFonts w:ascii="Arial" w:eastAsia="Arial" w:hAnsi="Arial" w:cs="Arial"/>
                <w:color w:val="000000"/>
                <w:sz w:val="20"/>
                <w:szCs w:val="20"/>
              </w:rPr>
              <w:t xml:space="preserve"> or Student Accom</w:t>
            </w:r>
            <w:r w:rsidR="004F1099">
              <w:rPr>
                <w:rFonts w:ascii="Arial" w:eastAsia="Arial" w:hAnsi="Arial" w:cs="Arial"/>
                <w:color w:val="000000"/>
                <w:sz w:val="20"/>
                <w:szCs w:val="20"/>
              </w:rPr>
              <w:t>m</w:t>
            </w:r>
            <w:r w:rsidR="003D2A3D">
              <w:rPr>
                <w:rFonts w:ascii="Arial" w:eastAsia="Arial" w:hAnsi="Arial" w:cs="Arial"/>
                <w:color w:val="000000"/>
                <w:sz w:val="20"/>
                <w:szCs w:val="20"/>
              </w:rPr>
              <w:t>o</w:t>
            </w:r>
            <w:r w:rsidR="004F1099">
              <w:rPr>
                <w:rFonts w:ascii="Arial" w:eastAsia="Arial" w:hAnsi="Arial" w:cs="Arial"/>
                <w:color w:val="000000"/>
                <w:sz w:val="20"/>
                <w:szCs w:val="20"/>
              </w:rPr>
              <w:t>dation Manager where relevant.</w:t>
            </w:r>
          </w:p>
          <w:p w14:paraId="2C8A4EAD" w14:textId="77166CC1" w:rsidR="00982D06" w:rsidRDefault="00D96E42">
            <w:pPr>
              <w:numPr>
                <w:ilvl w:val="0"/>
                <w:numId w:val="2"/>
              </w:numPr>
              <w:rPr>
                <w:rFonts w:ascii="Arial" w:eastAsia="Arial" w:hAnsi="Arial" w:cs="Arial"/>
                <w:color w:val="000000"/>
                <w:sz w:val="20"/>
                <w:szCs w:val="20"/>
              </w:rPr>
            </w:pPr>
            <w:r>
              <w:rPr>
                <w:rFonts w:ascii="Arial" w:eastAsia="Arial" w:hAnsi="Arial" w:cs="Arial"/>
                <w:color w:val="000000"/>
                <w:sz w:val="20"/>
                <w:szCs w:val="20"/>
              </w:rPr>
              <w:t>Discusses fitness to study concerns with the student involved</w:t>
            </w:r>
          </w:p>
          <w:p w14:paraId="50F91305" w14:textId="77777777" w:rsidR="00982D06" w:rsidRDefault="00D96E42">
            <w:pPr>
              <w:numPr>
                <w:ilvl w:val="0"/>
                <w:numId w:val="2"/>
              </w:numPr>
              <w:rPr>
                <w:rFonts w:ascii="Arial" w:eastAsia="Arial" w:hAnsi="Arial" w:cs="Arial"/>
                <w:color w:val="000000"/>
                <w:sz w:val="20"/>
                <w:szCs w:val="20"/>
              </w:rPr>
            </w:pPr>
            <w:r>
              <w:rPr>
                <w:rFonts w:ascii="Arial" w:eastAsia="Arial" w:hAnsi="Arial" w:cs="Arial"/>
                <w:color w:val="000000"/>
                <w:sz w:val="20"/>
                <w:szCs w:val="20"/>
              </w:rPr>
              <w:t>Explores with the student the nature of the behaviour that is the focus of the concerns</w:t>
            </w:r>
          </w:p>
          <w:p w14:paraId="7E5B8E4A" w14:textId="77777777" w:rsidR="00982D06" w:rsidRDefault="00D96E42">
            <w:pPr>
              <w:numPr>
                <w:ilvl w:val="0"/>
                <w:numId w:val="2"/>
              </w:numPr>
              <w:rPr>
                <w:rFonts w:ascii="Arial" w:eastAsia="Arial" w:hAnsi="Arial" w:cs="Arial"/>
                <w:color w:val="000000"/>
                <w:sz w:val="20"/>
                <w:szCs w:val="20"/>
              </w:rPr>
            </w:pPr>
            <w:r>
              <w:rPr>
                <w:rFonts w:ascii="Arial" w:eastAsia="Arial" w:hAnsi="Arial" w:cs="Arial"/>
                <w:color w:val="000000"/>
                <w:sz w:val="20"/>
                <w:szCs w:val="20"/>
              </w:rPr>
              <w:t>Identifies existing support and adjustments that may be provided to the student in order to address the concern</w:t>
            </w:r>
          </w:p>
          <w:p w14:paraId="0DA4D3BA" w14:textId="1EE4ADF4" w:rsidR="00D465E5" w:rsidRPr="00D465E5" w:rsidRDefault="00D465E5" w:rsidP="00D465E5">
            <w:pPr>
              <w:numPr>
                <w:ilvl w:val="0"/>
                <w:numId w:val="2"/>
              </w:numPr>
              <w:rPr>
                <w:rFonts w:ascii="Arial" w:eastAsia="Arial" w:hAnsi="Arial" w:cs="Arial"/>
                <w:color w:val="000000"/>
                <w:sz w:val="20"/>
                <w:szCs w:val="20"/>
              </w:rPr>
            </w:pPr>
            <w:r>
              <w:rPr>
                <w:rFonts w:ascii="Arial" w:eastAsia="Arial" w:hAnsi="Arial" w:cs="Arial"/>
                <w:color w:val="000000"/>
                <w:sz w:val="20"/>
                <w:szCs w:val="20"/>
              </w:rPr>
              <w:t xml:space="preserve">Seeks </w:t>
            </w:r>
            <w:r w:rsidRPr="00F669CC">
              <w:rPr>
                <w:rFonts w:ascii="Arial" w:eastAsia="Arial" w:hAnsi="Arial" w:cs="Arial"/>
                <w:color w:val="000000"/>
                <w:sz w:val="20"/>
                <w:szCs w:val="20"/>
              </w:rPr>
              <w:t>advice on reasonable adjustments</w:t>
            </w:r>
          </w:p>
          <w:p w14:paraId="450FE0E1" w14:textId="77777777" w:rsidR="00982D06" w:rsidRDefault="00D96E42">
            <w:pPr>
              <w:numPr>
                <w:ilvl w:val="0"/>
                <w:numId w:val="2"/>
              </w:numPr>
              <w:rPr>
                <w:rFonts w:ascii="Arial" w:eastAsia="Arial" w:hAnsi="Arial" w:cs="Arial"/>
                <w:color w:val="000000"/>
                <w:sz w:val="20"/>
                <w:szCs w:val="20"/>
              </w:rPr>
            </w:pPr>
            <w:r>
              <w:rPr>
                <w:rFonts w:ascii="Arial" w:eastAsia="Arial" w:hAnsi="Arial" w:cs="Arial"/>
                <w:color w:val="000000"/>
                <w:sz w:val="20"/>
                <w:szCs w:val="20"/>
              </w:rPr>
              <w:t>Seeks advice from the Fitness to Study Advisory Group and the relevant faculty officer/s</w:t>
            </w:r>
          </w:p>
        </w:tc>
        <w:tc>
          <w:tcPr>
            <w:tcW w:w="1377" w:type="pct"/>
            <w:tcBorders>
              <w:top w:val="outset" w:sz="6" w:space="0" w:color="auto"/>
              <w:left w:val="outset" w:sz="6" w:space="0" w:color="auto"/>
              <w:bottom w:val="outset" w:sz="6" w:space="0" w:color="auto"/>
              <w:right w:val="outset" w:sz="6" w:space="0" w:color="auto"/>
            </w:tcBorders>
          </w:tcPr>
          <w:p w14:paraId="0D3303CA" w14:textId="48E3523E" w:rsidR="00982D06" w:rsidRDefault="00D96E42">
            <w:pPr>
              <w:rPr>
                <w:rFonts w:ascii="Arial" w:eastAsia="Arial" w:hAnsi="Arial" w:cs="Arial"/>
                <w:color w:val="000000"/>
                <w:sz w:val="20"/>
                <w:szCs w:val="20"/>
              </w:rPr>
            </w:pPr>
            <w:r w:rsidRPr="6F2E7268">
              <w:rPr>
                <w:rFonts w:ascii="Arial" w:eastAsia="Arial" w:hAnsi="Arial" w:cs="Arial"/>
                <w:color w:val="000000" w:themeColor="text1"/>
                <w:sz w:val="20"/>
                <w:szCs w:val="20"/>
              </w:rPr>
              <w:t xml:space="preserve">Case </w:t>
            </w:r>
            <w:r w:rsidR="1DD33E97" w:rsidRPr="6F2E7268">
              <w:rPr>
                <w:rFonts w:ascii="Arial" w:eastAsia="Arial" w:hAnsi="Arial" w:cs="Arial"/>
                <w:color w:val="000000" w:themeColor="text1"/>
                <w:sz w:val="20"/>
                <w:szCs w:val="20"/>
              </w:rPr>
              <w:t>Coordinator</w:t>
            </w:r>
            <w:r w:rsidR="00A70ABA">
              <w:rPr>
                <w:rFonts w:ascii="Arial" w:eastAsia="Arial" w:hAnsi="Arial" w:cs="Arial"/>
                <w:color w:val="000000" w:themeColor="text1"/>
                <w:sz w:val="20"/>
                <w:szCs w:val="20"/>
              </w:rPr>
              <w:t xml:space="preserve"> </w:t>
            </w:r>
            <w:r w:rsidR="00A70ABA">
              <w:rPr>
                <w:rFonts w:ascii="Arial" w:eastAsia="Arial" w:hAnsi="Arial" w:cs="Arial"/>
                <w:color w:val="000000"/>
                <w:sz w:val="20"/>
                <w:szCs w:val="20"/>
              </w:rPr>
              <w:t>(who may also be the Fitness to Study Officer)</w:t>
            </w:r>
          </w:p>
        </w:tc>
        <w:tc>
          <w:tcPr>
            <w:tcW w:w="1076" w:type="pct"/>
            <w:tcBorders>
              <w:top w:val="outset" w:sz="6" w:space="0" w:color="auto"/>
              <w:left w:val="outset" w:sz="6" w:space="0" w:color="auto"/>
              <w:bottom w:val="outset" w:sz="6" w:space="0" w:color="auto"/>
              <w:right w:val="outset" w:sz="6" w:space="0" w:color="auto"/>
            </w:tcBorders>
          </w:tcPr>
          <w:p w14:paraId="79250D02" w14:textId="77777777" w:rsidR="00982D06" w:rsidRDefault="00D96E42">
            <w:pPr>
              <w:rPr>
                <w:rFonts w:ascii="Arial" w:eastAsia="Arial" w:hAnsi="Arial" w:cs="Arial"/>
                <w:color w:val="000000"/>
                <w:sz w:val="20"/>
                <w:szCs w:val="20"/>
              </w:rPr>
            </w:pPr>
            <w:r>
              <w:rPr>
                <w:rFonts w:ascii="Arial" w:eastAsia="Arial" w:hAnsi="Arial" w:cs="Arial"/>
                <w:color w:val="000000"/>
                <w:sz w:val="20"/>
                <w:szCs w:val="20"/>
              </w:rPr>
              <w:t>In accordance with this policy</w:t>
            </w:r>
          </w:p>
        </w:tc>
      </w:tr>
      <w:tr w:rsidR="00982D06" w14:paraId="20AB453C" w14:textId="77777777" w:rsidTr="6F2E7268">
        <w:tc>
          <w:tcPr>
            <w:tcW w:w="2547" w:type="pct"/>
            <w:tcBorders>
              <w:top w:val="outset" w:sz="6" w:space="0" w:color="auto"/>
              <w:left w:val="outset" w:sz="6" w:space="0" w:color="auto"/>
              <w:bottom w:val="outset" w:sz="6" w:space="0" w:color="auto"/>
              <w:right w:val="outset" w:sz="6" w:space="0" w:color="auto"/>
            </w:tcBorders>
          </w:tcPr>
          <w:p w14:paraId="1353B4C4" w14:textId="77777777" w:rsidR="00982D06" w:rsidRDefault="00D96E42">
            <w:pPr>
              <w:numPr>
                <w:ilvl w:val="0"/>
                <w:numId w:val="3"/>
              </w:numPr>
              <w:rPr>
                <w:rFonts w:ascii="Arial" w:eastAsia="Arial" w:hAnsi="Arial" w:cs="Arial"/>
                <w:color w:val="000000"/>
                <w:sz w:val="20"/>
                <w:szCs w:val="20"/>
              </w:rPr>
            </w:pPr>
            <w:r>
              <w:rPr>
                <w:rFonts w:ascii="Arial" w:eastAsia="Arial" w:hAnsi="Arial" w:cs="Arial"/>
                <w:color w:val="000000"/>
                <w:sz w:val="20"/>
                <w:szCs w:val="20"/>
              </w:rPr>
              <w:lastRenderedPageBreak/>
              <w:t>Provides advice to the case coordinator and Advisory Group on fitness to study concerns</w:t>
            </w:r>
          </w:p>
        </w:tc>
        <w:tc>
          <w:tcPr>
            <w:tcW w:w="1377" w:type="pct"/>
            <w:tcBorders>
              <w:top w:val="outset" w:sz="6" w:space="0" w:color="auto"/>
              <w:left w:val="outset" w:sz="6" w:space="0" w:color="auto"/>
              <w:bottom w:val="outset" w:sz="6" w:space="0" w:color="auto"/>
              <w:right w:val="outset" w:sz="6" w:space="0" w:color="auto"/>
            </w:tcBorders>
          </w:tcPr>
          <w:p w14:paraId="0D4A8332" w14:textId="321C3BCE" w:rsidR="00982D06" w:rsidRDefault="00D96E42">
            <w:pPr>
              <w:rPr>
                <w:rFonts w:ascii="Arial" w:eastAsia="Arial" w:hAnsi="Arial" w:cs="Arial"/>
                <w:color w:val="000000"/>
                <w:sz w:val="20"/>
                <w:szCs w:val="20"/>
              </w:rPr>
            </w:pPr>
            <w:r>
              <w:rPr>
                <w:rFonts w:ascii="Arial" w:eastAsia="Arial" w:hAnsi="Arial" w:cs="Arial"/>
                <w:color w:val="000000"/>
                <w:sz w:val="20"/>
                <w:szCs w:val="20"/>
              </w:rPr>
              <w:t xml:space="preserve">Faculty </w:t>
            </w:r>
            <w:r w:rsidR="00A70ABA">
              <w:rPr>
                <w:rFonts w:ascii="Arial" w:eastAsia="Arial" w:hAnsi="Arial" w:cs="Arial"/>
                <w:color w:val="000000"/>
                <w:sz w:val="20"/>
                <w:szCs w:val="20"/>
              </w:rPr>
              <w:t>F</w:t>
            </w:r>
            <w:r>
              <w:rPr>
                <w:rFonts w:ascii="Arial" w:eastAsia="Arial" w:hAnsi="Arial" w:cs="Arial"/>
                <w:color w:val="000000"/>
                <w:sz w:val="20"/>
                <w:szCs w:val="20"/>
              </w:rPr>
              <w:t xml:space="preserve">itness to </w:t>
            </w:r>
            <w:r w:rsidR="00A70ABA">
              <w:rPr>
                <w:rFonts w:ascii="Arial" w:eastAsia="Arial" w:hAnsi="Arial" w:cs="Arial"/>
                <w:color w:val="000000"/>
                <w:sz w:val="20"/>
                <w:szCs w:val="20"/>
              </w:rPr>
              <w:t>S</w:t>
            </w:r>
            <w:r>
              <w:rPr>
                <w:rFonts w:ascii="Arial" w:eastAsia="Arial" w:hAnsi="Arial" w:cs="Arial"/>
                <w:color w:val="000000"/>
                <w:sz w:val="20"/>
                <w:szCs w:val="20"/>
              </w:rPr>
              <w:t xml:space="preserve">tudy </w:t>
            </w:r>
            <w:r w:rsidR="00A70ABA">
              <w:rPr>
                <w:rFonts w:ascii="Arial" w:eastAsia="Arial" w:hAnsi="Arial" w:cs="Arial"/>
                <w:color w:val="000000"/>
                <w:sz w:val="20"/>
                <w:szCs w:val="20"/>
              </w:rPr>
              <w:t>O</w:t>
            </w:r>
            <w:r>
              <w:rPr>
                <w:rFonts w:ascii="Arial" w:eastAsia="Arial" w:hAnsi="Arial" w:cs="Arial"/>
                <w:color w:val="000000"/>
                <w:sz w:val="20"/>
                <w:szCs w:val="20"/>
              </w:rPr>
              <w:t>fficer</w:t>
            </w:r>
            <w:r w:rsidR="00BD5341">
              <w:rPr>
                <w:rFonts w:ascii="Arial" w:eastAsia="Arial" w:hAnsi="Arial" w:cs="Arial"/>
                <w:color w:val="000000"/>
                <w:sz w:val="20"/>
                <w:szCs w:val="20"/>
              </w:rPr>
              <w:t xml:space="preserve"> (who may also act as case manager)</w:t>
            </w:r>
          </w:p>
        </w:tc>
        <w:tc>
          <w:tcPr>
            <w:tcW w:w="1076" w:type="pct"/>
            <w:tcBorders>
              <w:top w:val="outset" w:sz="6" w:space="0" w:color="auto"/>
              <w:left w:val="outset" w:sz="6" w:space="0" w:color="auto"/>
              <w:bottom w:val="outset" w:sz="6" w:space="0" w:color="auto"/>
              <w:right w:val="outset" w:sz="6" w:space="0" w:color="auto"/>
            </w:tcBorders>
          </w:tcPr>
          <w:p w14:paraId="7E97CD48" w14:textId="77777777" w:rsidR="00982D06" w:rsidRDefault="00D96E42">
            <w:pPr>
              <w:rPr>
                <w:rFonts w:ascii="Arial" w:eastAsia="Arial" w:hAnsi="Arial" w:cs="Arial"/>
                <w:color w:val="000000"/>
                <w:sz w:val="20"/>
                <w:szCs w:val="20"/>
              </w:rPr>
            </w:pPr>
            <w:r>
              <w:rPr>
                <w:rFonts w:ascii="Arial" w:eastAsia="Arial" w:hAnsi="Arial" w:cs="Arial"/>
                <w:color w:val="000000"/>
                <w:sz w:val="20"/>
                <w:szCs w:val="20"/>
              </w:rPr>
              <w:t>In accordance with this policy</w:t>
            </w:r>
          </w:p>
        </w:tc>
      </w:tr>
      <w:tr w:rsidR="00982D06" w14:paraId="17E569D7" w14:textId="77777777" w:rsidTr="6F2E7268">
        <w:tc>
          <w:tcPr>
            <w:tcW w:w="2547" w:type="pct"/>
            <w:tcBorders>
              <w:top w:val="outset" w:sz="6" w:space="0" w:color="auto"/>
              <w:left w:val="outset" w:sz="6" w:space="0" w:color="auto"/>
              <w:bottom w:val="outset" w:sz="6" w:space="0" w:color="auto"/>
              <w:right w:val="outset" w:sz="6" w:space="0" w:color="auto"/>
            </w:tcBorders>
          </w:tcPr>
          <w:p w14:paraId="64787924" w14:textId="77777777" w:rsidR="00055418" w:rsidRDefault="00055418" w:rsidP="00055418">
            <w:pPr>
              <w:numPr>
                <w:ilvl w:val="0"/>
                <w:numId w:val="4"/>
              </w:numPr>
              <w:rPr>
                <w:rFonts w:ascii="Arial" w:eastAsia="Arial" w:hAnsi="Arial" w:cs="Arial"/>
                <w:color w:val="000000"/>
                <w:sz w:val="20"/>
                <w:szCs w:val="20"/>
              </w:rPr>
            </w:pPr>
            <w:r>
              <w:rPr>
                <w:rFonts w:ascii="Arial" w:eastAsia="Arial" w:hAnsi="Arial" w:cs="Arial"/>
                <w:color w:val="000000"/>
                <w:sz w:val="20"/>
                <w:szCs w:val="20"/>
              </w:rPr>
              <w:t>Appoints Fitness to Study Officer</w:t>
            </w:r>
          </w:p>
          <w:p w14:paraId="7CCC552F" w14:textId="77777777" w:rsidR="00055418" w:rsidRDefault="00055418" w:rsidP="00055418">
            <w:pPr>
              <w:numPr>
                <w:ilvl w:val="0"/>
                <w:numId w:val="4"/>
              </w:numPr>
              <w:rPr>
                <w:rFonts w:ascii="Arial" w:eastAsia="Arial" w:hAnsi="Arial" w:cs="Arial"/>
                <w:color w:val="000000"/>
                <w:sz w:val="20"/>
                <w:szCs w:val="20"/>
              </w:rPr>
            </w:pPr>
            <w:r>
              <w:rPr>
                <w:rFonts w:ascii="Arial" w:eastAsia="Arial" w:hAnsi="Arial" w:cs="Arial"/>
                <w:color w:val="000000"/>
                <w:sz w:val="20"/>
                <w:szCs w:val="20"/>
              </w:rPr>
              <w:t>Receives reports about concerning student conduct</w:t>
            </w:r>
          </w:p>
          <w:p w14:paraId="45ECD69F" w14:textId="77777777" w:rsidR="00055418" w:rsidRPr="00F669CC" w:rsidRDefault="00055418" w:rsidP="00055418">
            <w:pPr>
              <w:numPr>
                <w:ilvl w:val="0"/>
                <w:numId w:val="4"/>
              </w:numPr>
              <w:rPr>
                <w:rFonts w:ascii="Arial" w:eastAsia="Arial" w:hAnsi="Arial" w:cs="Arial"/>
                <w:color w:val="000000"/>
                <w:sz w:val="20"/>
                <w:szCs w:val="20"/>
              </w:rPr>
            </w:pPr>
            <w:r>
              <w:rPr>
                <w:rFonts w:ascii="Arial" w:eastAsia="Arial" w:hAnsi="Arial" w:cs="Arial"/>
                <w:color w:val="000000"/>
                <w:sz w:val="20"/>
                <w:szCs w:val="20"/>
              </w:rPr>
              <w:t>Makes recommendations and/or referrals to the Academic Registrar based on a report from Faculty Fitness to Study Officer, Faculty Wellbeing Officer or Fitness to Study Advisory Group</w:t>
            </w:r>
          </w:p>
          <w:p w14:paraId="658BCEDC" w14:textId="77777777" w:rsidR="00982D06" w:rsidRDefault="00D96E42">
            <w:pPr>
              <w:numPr>
                <w:ilvl w:val="0"/>
                <w:numId w:val="4"/>
              </w:numPr>
              <w:rPr>
                <w:rFonts w:ascii="Arial" w:eastAsia="Arial" w:hAnsi="Arial" w:cs="Arial"/>
                <w:color w:val="000000"/>
                <w:sz w:val="20"/>
                <w:szCs w:val="20"/>
              </w:rPr>
            </w:pPr>
            <w:r>
              <w:rPr>
                <w:rFonts w:ascii="Arial" w:eastAsia="Arial" w:hAnsi="Arial" w:cs="Arial"/>
                <w:color w:val="000000"/>
                <w:sz w:val="20"/>
                <w:szCs w:val="20"/>
              </w:rPr>
              <w:t>Receives recommendations from the Academic Registrar based on a report from a Fitness to Study Committee</w:t>
            </w:r>
          </w:p>
          <w:p w14:paraId="633A7E51" w14:textId="77777777" w:rsidR="00982D06" w:rsidRDefault="00D96E42">
            <w:pPr>
              <w:numPr>
                <w:ilvl w:val="0"/>
                <w:numId w:val="4"/>
              </w:numPr>
              <w:rPr>
                <w:rFonts w:ascii="Arial" w:eastAsia="Arial" w:hAnsi="Arial" w:cs="Arial"/>
                <w:color w:val="000000"/>
                <w:sz w:val="20"/>
                <w:szCs w:val="20"/>
              </w:rPr>
            </w:pPr>
            <w:r>
              <w:rPr>
                <w:rFonts w:ascii="Arial" w:eastAsia="Arial" w:hAnsi="Arial" w:cs="Arial"/>
                <w:color w:val="000000"/>
                <w:sz w:val="20"/>
                <w:szCs w:val="20"/>
              </w:rPr>
              <w:t>Receives recommendations from the Academic Registrar on the student’s return to study</w:t>
            </w:r>
          </w:p>
          <w:p w14:paraId="3F8BB360" w14:textId="6E8DDFA3" w:rsidR="00594C99" w:rsidRDefault="00FB663F">
            <w:pPr>
              <w:numPr>
                <w:ilvl w:val="0"/>
                <w:numId w:val="4"/>
              </w:numPr>
              <w:rPr>
                <w:rFonts w:ascii="Arial" w:eastAsia="Arial" w:hAnsi="Arial" w:cs="Arial"/>
                <w:color w:val="000000"/>
                <w:sz w:val="20"/>
                <w:szCs w:val="20"/>
              </w:rPr>
            </w:pPr>
            <w:r>
              <w:rPr>
                <w:rFonts w:ascii="Arial" w:eastAsia="Arial" w:hAnsi="Arial" w:cs="Arial"/>
                <w:color w:val="000000"/>
                <w:sz w:val="20"/>
                <w:szCs w:val="20"/>
              </w:rPr>
              <w:t>Approves return to study plan</w:t>
            </w:r>
          </w:p>
        </w:tc>
        <w:tc>
          <w:tcPr>
            <w:tcW w:w="1377" w:type="pct"/>
            <w:tcBorders>
              <w:top w:val="outset" w:sz="6" w:space="0" w:color="auto"/>
              <w:left w:val="outset" w:sz="6" w:space="0" w:color="auto"/>
              <w:bottom w:val="outset" w:sz="6" w:space="0" w:color="auto"/>
              <w:right w:val="outset" w:sz="6" w:space="0" w:color="auto"/>
            </w:tcBorders>
          </w:tcPr>
          <w:p w14:paraId="6D6D4177" w14:textId="77777777" w:rsidR="00982D06" w:rsidRDefault="00D96E42">
            <w:pPr>
              <w:rPr>
                <w:rFonts w:ascii="Arial" w:eastAsia="Arial" w:hAnsi="Arial" w:cs="Arial"/>
                <w:color w:val="000000"/>
                <w:sz w:val="20"/>
                <w:szCs w:val="20"/>
              </w:rPr>
            </w:pPr>
            <w:r>
              <w:rPr>
                <w:rFonts w:ascii="Arial" w:eastAsia="Arial" w:hAnsi="Arial" w:cs="Arial"/>
                <w:color w:val="000000"/>
                <w:sz w:val="20"/>
                <w:szCs w:val="20"/>
              </w:rPr>
              <w:t>Deans</w:t>
            </w:r>
          </w:p>
        </w:tc>
        <w:tc>
          <w:tcPr>
            <w:tcW w:w="1076" w:type="pct"/>
            <w:tcBorders>
              <w:top w:val="outset" w:sz="6" w:space="0" w:color="auto"/>
              <w:left w:val="outset" w:sz="6" w:space="0" w:color="auto"/>
              <w:bottom w:val="outset" w:sz="6" w:space="0" w:color="auto"/>
              <w:right w:val="outset" w:sz="6" w:space="0" w:color="auto"/>
            </w:tcBorders>
          </w:tcPr>
          <w:p w14:paraId="13755909" w14:textId="77777777" w:rsidR="00982D06" w:rsidRDefault="00D96E42">
            <w:pPr>
              <w:rPr>
                <w:rFonts w:ascii="Arial" w:eastAsia="Arial" w:hAnsi="Arial" w:cs="Arial"/>
                <w:color w:val="000000"/>
                <w:sz w:val="20"/>
                <w:szCs w:val="20"/>
              </w:rPr>
            </w:pPr>
            <w:r>
              <w:rPr>
                <w:rFonts w:ascii="Arial" w:eastAsia="Arial" w:hAnsi="Arial" w:cs="Arial"/>
                <w:color w:val="000000"/>
                <w:sz w:val="20"/>
                <w:szCs w:val="20"/>
              </w:rPr>
              <w:t>In accordance with this policy</w:t>
            </w:r>
          </w:p>
        </w:tc>
      </w:tr>
    </w:tbl>
    <w:p w14:paraId="571A2017" w14:textId="77777777" w:rsidR="00982D06" w:rsidRDefault="00D96E42">
      <w:pPr>
        <w:pStyle w:val="Heading2"/>
      </w:pPr>
      <w:r>
        <w:t>7. Definitions</w:t>
      </w:r>
    </w:p>
    <w:p w14:paraId="204DFB08" w14:textId="50ABBC66" w:rsidR="00982D06" w:rsidRDefault="00D96E42">
      <w:pPr>
        <w:spacing w:after="280" w:afterAutospacing="1"/>
        <w:rPr>
          <w:rFonts w:ascii="Arial" w:eastAsia="Arial" w:hAnsi="Arial" w:cs="Arial"/>
          <w:color w:val="000000"/>
          <w:sz w:val="20"/>
          <w:szCs w:val="20"/>
        </w:rPr>
      </w:pPr>
      <w:r>
        <w:rPr>
          <w:rFonts w:ascii="Arial" w:eastAsia="Arial" w:hAnsi="Arial" w:cs="Arial"/>
          <w:b/>
          <w:bCs/>
          <w:color w:val="000000"/>
          <w:sz w:val="20"/>
          <w:szCs w:val="20"/>
        </w:rPr>
        <w:t>Health</w:t>
      </w:r>
      <w:r>
        <w:rPr>
          <w:rFonts w:ascii="Arial" w:eastAsia="Arial" w:hAnsi="Arial" w:cs="Arial"/>
          <w:color w:val="000000"/>
          <w:sz w:val="20"/>
          <w:szCs w:val="20"/>
        </w:rPr>
        <w:t xml:space="preserve"> includes, but is not limited to, having a disease notifiable under the Public Health and Wellbeing Regulations 2009.</w:t>
      </w:r>
    </w:p>
    <w:p w14:paraId="6AA4323A" w14:textId="5A83340F" w:rsidR="00982D06" w:rsidRDefault="00D96E42">
      <w:pPr>
        <w:spacing w:after="280" w:afterAutospacing="1"/>
        <w:rPr>
          <w:rFonts w:ascii="Arial" w:eastAsia="Arial" w:hAnsi="Arial" w:cs="Arial"/>
          <w:color w:val="000000"/>
          <w:sz w:val="20"/>
          <w:szCs w:val="20"/>
        </w:rPr>
      </w:pPr>
      <w:r>
        <w:rPr>
          <w:rFonts w:ascii="Arial" w:eastAsia="Arial" w:hAnsi="Arial" w:cs="Arial"/>
          <w:b/>
          <w:bCs/>
          <w:color w:val="000000"/>
          <w:sz w:val="20"/>
          <w:szCs w:val="20"/>
        </w:rPr>
        <w:t>Senior member of staff</w:t>
      </w:r>
      <w:r>
        <w:rPr>
          <w:rFonts w:ascii="Arial" w:eastAsia="Arial" w:hAnsi="Arial" w:cs="Arial"/>
          <w:color w:val="000000"/>
          <w:sz w:val="20"/>
          <w:szCs w:val="20"/>
        </w:rPr>
        <w:t xml:space="preserve"> means an academic staff appointed at the classification level C or above</w:t>
      </w:r>
      <w:r w:rsidR="00267714">
        <w:rPr>
          <w:rFonts w:ascii="Arial" w:eastAsia="Arial" w:hAnsi="Arial" w:cs="Arial"/>
          <w:color w:val="000000"/>
          <w:sz w:val="20"/>
          <w:szCs w:val="20"/>
        </w:rPr>
        <w:t xml:space="preserve"> and a professional staff member at UoM10 or above</w:t>
      </w:r>
    </w:p>
    <w:p w14:paraId="3827D07C" w14:textId="77777777" w:rsidR="00982D06" w:rsidRDefault="00D96E42">
      <w:pPr>
        <w:spacing w:after="280" w:afterAutospacing="1"/>
        <w:rPr>
          <w:rFonts w:ascii="Arial" w:eastAsia="Arial" w:hAnsi="Arial" w:cs="Arial"/>
          <w:color w:val="000000"/>
          <w:sz w:val="20"/>
          <w:szCs w:val="20"/>
        </w:rPr>
      </w:pPr>
      <w:r>
        <w:rPr>
          <w:rFonts w:ascii="Arial" w:eastAsia="Arial" w:hAnsi="Arial" w:cs="Arial"/>
          <w:b/>
          <w:bCs/>
          <w:color w:val="000000"/>
          <w:sz w:val="20"/>
          <w:szCs w:val="20"/>
        </w:rPr>
        <w:t>Student</w:t>
      </w:r>
      <w:r>
        <w:rPr>
          <w:rFonts w:ascii="Arial" w:eastAsia="Arial" w:hAnsi="Arial" w:cs="Arial"/>
          <w:color w:val="000000"/>
          <w:sz w:val="20"/>
          <w:szCs w:val="20"/>
        </w:rPr>
        <w:t xml:space="preserve"> means:</w:t>
      </w:r>
    </w:p>
    <w:p w14:paraId="6A75F0B9" w14:textId="77777777" w:rsidR="00982D06" w:rsidRDefault="00D96E42">
      <w:pPr>
        <w:spacing w:after="280" w:afterAutospacing="1"/>
        <w:rPr>
          <w:rFonts w:ascii="Arial" w:eastAsia="Arial" w:hAnsi="Arial" w:cs="Arial"/>
          <w:color w:val="000000"/>
          <w:sz w:val="20"/>
          <w:szCs w:val="20"/>
        </w:rPr>
      </w:pPr>
      <w:r>
        <w:rPr>
          <w:rFonts w:ascii="Arial" w:eastAsia="Arial" w:hAnsi="Arial" w:cs="Arial"/>
          <w:color w:val="000000"/>
          <w:sz w:val="20"/>
          <w:szCs w:val="20"/>
        </w:rPr>
        <w:t>(a)   any person enrolled in accordance with the relevant policies and procedures at the University; and</w:t>
      </w:r>
    </w:p>
    <w:p w14:paraId="49A0D494" w14:textId="77777777" w:rsidR="00982D06" w:rsidRDefault="00D96E42">
      <w:pPr>
        <w:spacing w:after="280" w:afterAutospacing="1"/>
        <w:rPr>
          <w:rFonts w:ascii="Arial" w:eastAsia="Arial" w:hAnsi="Arial" w:cs="Arial"/>
          <w:color w:val="000000"/>
          <w:sz w:val="20"/>
          <w:szCs w:val="20"/>
        </w:rPr>
      </w:pPr>
      <w:r>
        <w:rPr>
          <w:rFonts w:ascii="Arial" w:eastAsia="Arial" w:hAnsi="Arial" w:cs="Arial"/>
          <w:color w:val="000000"/>
          <w:sz w:val="20"/>
          <w:szCs w:val="20"/>
        </w:rPr>
        <w:t>(b)   for the purposes of this policy, any person admitted into a course or subject.</w:t>
      </w:r>
    </w:p>
    <w:p w14:paraId="3FFFBBD4" w14:textId="03E66AA3" w:rsidR="00A474F0" w:rsidRPr="00177600" w:rsidRDefault="00D96E42">
      <w:pPr>
        <w:spacing w:after="280" w:afterAutospacing="1"/>
        <w:rPr>
          <w:rFonts w:ascii="Arial" w:eastAsia="Arial" w:hAnsi="Arial" w:cs="Arial"/>
          <w:color w:val="000000"/>
          <w:sz w:val="20"/>
          <w:szCs w:val="20"/>
        </w:rPr>
      </w:pPr>
      <w:r>
        <w:rPr>
          <w:rFonts w:ascii="Arial" w:eastAsia="Arial" w:hAnsi="Arial" w:cs="Arial"/>
          <w:b/>
          <w:bCs/>
          <w:color w:val="000000"/>
          <w:sz w:val="20"/>
          <w:szCs w:val="20"/>
        </w:rPr>
        <w:t>Study</w:t>
      </w:r>
      <w:r>
        <w:rPr>
          <w:rFonts w:ascii="Arial" w:eastAsia="Arial" w:hAnsi="Arial" w:cs="Arial"/>
          <w:color w:val="000000"/>
          <w:sz w:val="20"/>
          <w:szCs w:val="20"/>
        </w:rPr>
        <w:t xml:space="preserve"> in this policy refers to learning, research or any other activity related to their program studies</w:t>
      </w:r>
    </w:p>
    <w:p w14:paraId="10A58521" w14:textId="7203B287" w:rsidR="00A474F0" w:rsidRDefault="00A474F0">
      <w:pPr>
        <w:spacing w:after="280" w:afterAutospacing="1"/>
        <w:rPr>
          <w:rFonts w:ascii="Arial" w:eastAsia="Arial" w:hAnsi="Arial" w:cs="Arial"/>
          <w:b/>
          <w:bCs/>
          <w:color w:val="000000"/>
          <w:sz w:val="20"/>
          <w:szCs w:val="20"/>
        </w:rPr>
      </w:pPr>
      <w:r>
        <w:rPr>
          <w:rFonts w:ascii="Arial" w:eastAsia="Arial" w:hAnsi="Arial" w:cs="Arial"/>
          <w:b/>
          <w:bCs/>
          <w:color w:val="000000"/>
          <w:sz w:val="20"/>
          <w:szCs w:val="20"/>
        </w:rPr>
        <w:t>University b</w:t>
      </w:r>
      <w:r w:rsidRPr="00177600">
        <w:rPr>
          <w:rFonts w:ascii="Arial" w:eastAsia="Arial" w:hAnsi="Arial" w:cs="Arial"/>
          <w:b/>
          <w:bCs/>
          <w:color w:val="000000"/>
          <w:sz w:val="20"/>
          <w:szCs w:val="20"/>
        </w:rPr>
        <w:t xml:space="preserve">usiness </w:t>
      </w:r>
      <w:r>
        <w:rPr>
          <w:rFonts w:ascii="Arial" w:eastAsia="Arial" w:hAnsi="Arial" w:cs="Arial"/>
          <w:b/>
          <w:bCs/>
          <w:color w:val="000000"/>
          <w:sz w:val="20"/>
          <w:szCs w:val="20"/>
        </w:rPr>
        <w:t>d</w:t>
      </w:r>
      <w:r w:rsidRPr="00177600">
        <w:rPr>
          <w:rFonts w:ascii="Arial" w:eastAsia="Arial" w:hAnsi="Arial" w:cs="Arial"/>
          <w:b/>
          <w:bCs/>
          <w:color w:val="000000"/>
          <w:sz w:val="20"/>
          <w:szCs w:val="20"/>
        </w:rPr>
        <w:t xml:space="preserve">ay </w:t>
      </w:r>
      <w:r w:rsidRPr="00177600">
        <w:rPr>
          <w:rFonts w:ascii="Arial" w:eastAsia="Arial" w:hAnsi="Arial" w:cs="Arial"/>
          <w:color w:val="000000"/>
          <w:sz w:val="20"/>
          <w:szCs w:val="20"/>
        </w:rPr>
        <w:t>means a day that is not a Saturday, Sunday or a University holiday as indicated on the University calendar (as amended from time to time).</w:t>
      </w:r>
    </w:p>
    <w:p w14:paraId="635E57B6" w14:textId="77777777" w:rsidR="00982D06" w:rsidRDefault="00D96E42">
      <w:pPr>
        <w:pStyle w:val="Heading2"/>
      </w:pPr>
      <w:r>
        <w:t>POLICY APPROVER</w:t>
      </w:r>
    </w:p>
    <w:p w14:paraId="3557BA48" w14:textId="77777777" w:rsidR="00982D06" w:rsidRDefault="00D96E42">
      <w:pPr>
        <w:spacing w:after="280" w:afterAutospacing="1"/>
        <w:rPr>
          <w:rFonts w:ascii="Arial" w:eastAsia="Arial" w:hAnsi="Arial" w:cs="Arial"/>
          <w:color w:val="000000"/>
          <w:sz w:val="20"/>
          <w:szCs w:val="20"/>
        </w:rPr>
      </w:pPr>
      <w:r>
        <w:rPr>
          <w:rFonts w:ascii="Arial" w:eastAsia="Arial" w:hAnsi="Arial" w:cs="Arial"/>
          <w:color w:val="000000"/>
          <w:sz w:val="20"/>
          <w:szCs w:val="20"/>
        </w:rPr>
        <w:t>Vice-President Administration and Finance, and Chief Operating Officer</w:t>
      </w:r>
    </w:p>
    <w:p w14:paraId="01923BD8" w14:textId="77777777" w:rsidR="00982D06" w:rsidRDefault="00D96E42">
      <w:pPr>
        <w:pStyle w:val="Heading2"/>
      </w:pPr>
      <w:r>
        <w:t>POLICY STEWARD</w:t>
      </w:r>
    </w:p>
    <w:p w14:paraId="620E7F38" w14:textId="37D4BFDF" w:rsidR="00982D06" w:rsidRDefault="00D96E42" w:rsidP="36108200">
      <w:pPr>
        <w:spacing w:after="280" w:afterAutospacing="1"/>
        <w:rPr>
          <w:rFonts w:ascii="Arial" w:eastAsia="Arial" w:hAnsi="Arial" w:cs="Arial"/>
          <w:color w:val="000000"/>
          <w:sz w:val="20"/>
          <w:szCs w:val="20"/>
        </w:rPr>
      </w:pPr>
      <w:r w:rsidRPr="36108200">
        <w:rPr>
          <w:rFonts w:ascii="Arial" w:eastAsia="Arial" w:hAnsi="Arial" w:cs="Arial"/>
          <w:color w:val="000000" w:themeColor="text1"/>
          <w:sz w:val="20"/>
          <w:szCs w:val="20"/>
        </w:rPr>
        <w:t xml:space="preserve">Principal Adviser, Student </w:t>
      </w:r>
      <w:r w:rsidR="48BC2141" w:rsidRPr="36108200">
        <w:rPr>
          <w:rFonts w:ascii="Arial" w:eastAsia="Arial" w:hAnsi="Arial" w:cs="Arial"/>
          <w:color w:val="000000" w:themeColor="text1"/>
          <w:sz w:val="20"/>
          <w:szCs w:val="20"/>
        </w:rPr>
        <w:t>Conduct</w:t>
      </w:r>
    </w:p>
    <w:p w14:paraId="6133788F" w14:textId="77777777" w:rsidR="00982D06" w:rsidRDefault="00D96E42">
      <w:pPr>
        <w:pStyle w:val="Heading2"/>
      </w:pPr>
      <w:r>
        <w:t>REVIEW</w:t>
      </w:r>
    </w:p>
    <w:p w14:paraId="0EA4FCDD" w14:textId="62AA14A6" w:rsidR="00982D06" w:rsidRDefault="00D96E42">
      <w:pPr>
        <w:spacing w:after="280" w:afterAutospacing="1"/>
        <w:rPr>
          <w:rFonts w:ascii="Arial" w:eastAsia="Arial" w:hAnsi="Arial" w:cs="Arial"/>
          <w:color w:val="000000"/>
          <w:sz w:val="20"/>
          <w:szCs w:val="20"/>
        </w:rPr>
      </w:pPr>
      <w:r>
        <w:rPr>
          <w:rFonts w:ascii="Arial" w:eastAsia="Arial" w:hAnsi="Arial" w:cs="Arial"/>
          <w:color w:val="000000"/>
          <w:sz w:val="20"/>
          <w:szCs w:val="20"/>
        </w:rPr>
        <w:t xml:space="preserve">This policy is to be reviewed by 31 </w:t>
      </w:r>
      <w:r w:rsidR="00594C99">
        <w:rPr>
          <w:rFonts w:ascii="Arial" w:eastAsia="Arial" w:hAnsi="Arial" w:cs="Arial"/>
          <w:color w:val="000000"/>
          <w:sz w:val="20"/>
          <w:szCs w:val="20"/>
        </w:rPr>
        <w:t xml:space="preserve">December </w:t>
      </w:r>
      <w:r>
        <w:rPr>
          <w:rFonts w:ascii="Arial" w:eastAsia="Arial" w:hAnsi="Arial" w:cs="Arial"/>
          <w:color w:val="000000"/>
          <w:sz w:val="20"/>
          <w:szCs w:val="20"/>
        </w:rPr>
        <w:t>202</w:t>
      </w:r>
      <w:r w:rsidR="00E0454B">
        <w:rPr>
          <w:rFonts w:ascii="Arial" w:eastAsia="Arial" w:hAnsi="Arial" w:cs="Arial"/>
          <w:color w:val="000000"/>
          <w:sz w:val="20"/>
          <w:szCs w:val="20"/>
        </w:rPr>
        <w:t>3</w:t>
      </w:r>
      <w:r>
        <w:rPr>
          <w:rFonts w:ascii="Arial" w:eastAsia="Arial" w:hAnsi="Arial" w:cs="Arial"/>
          <w:color w:val="000000"/>
          <w:sz w:val="20"/>
          <w:szCs w:val="20"/>
        </w:rPr>
        <w:t>.</w:t>
      </w:r>
    </w:p>
    <w:p w14:paraId="6A8567E0" w14:textId="77777777" w:rsidR="00982D06" w:rsidRDefault="00D96E42">
      <w:pPr>
        <w:pStyle w:val="Heading2"/>
      </w:pPr>
      <w:r>
        <w:t>VERSION HISTORY</w:t>
      </w:r>
    </w:p>
    <w:tbl>
      <w:tblPr>
        <w:tblW w:w="0" w:type="auto"/>
        <w:tblBorders>
          <w:top w:val="outset" w:sz="6" w:space="0" w:color="auto"/>
          <w:left w:val="outset" w:sz="6" w:space="0" w:color="auto"/>
          <w:bottom w:val="outset" w:sz="6" w:space="0" w:color="auto"/>
          <w:right w:val="outset" w:sz="6" w:space="0" w:color="auto"/>
          <w:insideH w:val="nil"/>
          <w:insideV w:val="nil"/>
        </w:tblBorders>
        <w:tblCellMar>
          <w:top w:w="60" w:type="dxa"/>
          <w:left w:w="60" w:type="dxa"/>
          <w:bottom w:w="60" w:type="dxa"/>
          <w:right w:w="60" w:type="dxa"/>
        </w:tblCellMar>
        <w:tblLook w:val="04A0" w:firstRow="1" w:lastRow="0" w:firstColumn="1" w:lastColumn="0" w:noHBand="0" w:noVBand="1"/>
      </w:tblPr>
      <w:tblGrid>
        <w:gridCol w:w="854"/>
        <w:gridCol w:w="1567"/>
        <w:gridCol w:w="1120"/>
        <w:gridCol w:w="1132"/>
        <w:gridCol w:w="3951"/>
      </w:tblGrid>
      <w:tr w:rsidR="006C5228" w14:paraId="7147F523" w14:textId="77777777">
        <w:tc>
          <w:tcPr>
            <w:tcW w:w="0" w:type="auto"/>
            <w:tcBorders>
              <w:top w:val="outset" w:sz="6" w:space="0" w:color="auto"/>
              <w:left w:val="outset" w:sz="6" w:space="0" w:color="auto"/>
              <w:bottom w:val="outset" w:sz="6" w:space="0" w:color="auto"/>
              <w:right w:val="outset" w:sz="6" w:space="0" w:color="auto"/>
            </w:tcBorders>
            <w:vAlign w:val="center"/>
          </w:tcPr>
          <w:p w14:paraId="1AEEE20E" w14:textId="77777777" w:rsidR="00982D06" w:rsidRDefault="00D96E42">
            <w:pPr>
              <w:rPr>
                <w:rFonts w:ascii="Arial" w:eastAsia="Arial" w:hAnsi="Arial" w:cs="Arial"/>
                <w:color w:val="000000"/>
                <w:sz w:val="20"/>
                <w:szCs w:val="20"/>
              </w:rPr>
            </w:pPr>
            <w:r>
              <w:rPr>
                <w:rFonts w:ascii="Arial" w:eastAsia="Arial" w:hAnsi="Arial" w:cs="Arial"/>
                <w:b/>
                <w:bCs/>
                <w:color w:val="000000"/>
                <w:sz w:val="20"/>
                <w:szCs w:val="20"/>
              </w:rPr>
              <w:lastRenderedPageBreak/>
              <w:t>Version</w:t>
            </w:r>
          </w:p>
        </w:tc>
        <w:tc>
          <w:tcPr>
            <w:tcW w:w="0" w:type="auto"/>
            <w:tcBorders>
              <w:top w:val="outset" w:sz="6" w:space="0" w:color="auto"/>
              <w:left w:val="outset" w:sz="6" w:space="0" w:color="auto"/>
              <w:bottom w:val="outset" w:sz="6" w:space="0" w:color="auto"/>
              <w:right w:val="outset" w:sz="6" w:space="0" w:color="auto"/>
            </w:tcBorders>
            <w:vAlign w:val="center"/>
          </w:tcPr>
          <w:p w14:paraId="5962F938" w14:textId="77777777" w:rsidR="00982D06" w:rsidRDefault="00D96E42">
            <w:pPr>
              <w:rPr>
                <w:rFonts w:ascii="Arial" w:eastAsia="Arial" w:hAnsi="Arial" w:cs="Arial"/>
                <w:color w:val="000000"/>
                <w:sz w:val="20"/>
                <w:szCs w:val="20"/>
              </w:rPr>
            </w:pPr>
            <w:r>
              <w:rPr>
                <w:rFonts w:ascii="Arial" w:eastAsia="Arial" w:hAnsi="Arial" w:cs="Arial"/>
                <w:b/>
                <w:bCs/>
                <w:color w:val="000000"/>
                <w:sz w:val="20"/>
                <w:szCs w:val="20"/>
              </w:rPr>
              <w:t>Approved By</w:t>
            </w:r>
          </w:p>
        </w:tc>
        <w:tc>
          <w:tcPr>
            <w:tcW w:w="0" w:type="auto"/>
            <w:tcBorders>
              <w:top w:val="outset" w:sz="6" w:space="0" w:color="auto"/>
              <w:left w:val="outset" w:sz="6" w:space="0" w:color="auto"/>
              <w:bottom w:val="outset" w:sz="6" w:space="0" w:color="auto"/>
              <w:right w:val="outset" w:sz="6" w:space="0" w:color="auto"/>
            </w:tcBorders>
            <w:vAlign w:val="center"/>
          </w:tcPr>
          <w:p w14:paraId="44FFB3C8" w14:textId="77777777" w:rsidR="00982D06" w:rsidRDefault="00D96E42">
            <w:pPr>
              <w:rPr>
                <w:rFonts w:ascii="Arial" w:eastAsia="Arial" w:hAnsi="Arial" w:cs="Arial"/>
                <w:color w:val="000000"/>
                <w:sz w:val="20"/>
                <w:szCs w:val="20"/>
              </w:rPr>
            </w:pPr>
            <w:r>
              <w:rPr>
                <w:rFonts w:ascii="Arial" w:eastAsia="Arial" w:hAnsi="Arial" w:cs="Arial"/>
                <w:b/>
                <w:bCs/>
                <w:color w:val="000000"/>
                <w:sz w:val="20"/>
                <w:szCs w:val="20"/>
              </w:rPr>
              <w:t>Approval Date</w:t>
            </w:r>
          </w:p>
        </w:tc>
        <w:tc>
          <w:tcPr>
            <w:tcW w:w="0" w:type="auto"/>
            <w:tcBorders>
              <w:top w:val="outset" w:sz="6" w:space="0" w:color="auto"/>
              <w:left w:val="outset" w:sz="6" w:space="0" w:color="auto"/>
              <w:bottom w:val="outset" w:sz="6" w:space="0" w:color="auto"/>
              <w:right w:val="outset" w:sz="6" w:space="0" w:color="auto"/>
            </w:tcBorders>
            <w:vAlign w:val="center"/>
          </w:tcPr>
          <w:p w14:paraId="20A0E2B7" w14:textId="77777777" w:rsidR="00982D06" w:rsidRDefault="00D96E42">
            <w:pPr>
              <w:rPr>
                <w:rFonts w:ascii="Arial" w:eastAsia="Arial" w:hAnsi="Arial" w:cs="Arial"/>
                <w:color w:val="000000"/>
                <w:sz w:val="20"/>
                <w:szCs w:val="20"/>
              </w:rPr>
            </w:pPr>
            <w:r>
              <w:rPr>
                <w:rFonts w:ascii="Arial" w:eastAsia="Arial" w:hAnsi="Arial" w:cs="Arial"/>
                <w:b/>
                <w:bCs/>
                <w:color w:val="000000"/>
                <w:sz w:val="20"/>
                <w:szCs w:val="20"/>
              </w:rPr>
              <w:t>Effective Date</w:t>
            </w:r>
          </w:p>
        </w:tc>
        <w:tc>
          <w:tcPr>
            <w:tcW w:w="0" w:type="auto"/>
            <w:tcBorders>
              <w:top w:val="outset" w:sz="6" w:space="0" w:color="auto"/>
              <w:left w:val="outset" w:sz="6" w:space="0" w:color="auto"/>
              <w:bottom w:val="outset" w:sz="6" w:space="0" w:color="auto"/>
              <w:right w:val="outset" w:sz="6" w:space="0" w:color="auto"/>
            </w:tcBorders>
            <w:vAlign w:val="center"/>
          </w:tcPr>
          <w:p w14:paraId="57263EE6" w14:textId="77777777" w:rsidR="00982D06" w:rsidRDefault="00D96E42">
            <w:pPr>
              <w:rPr>
                <w:rFonts w:ascii="Arial" w:eastAsia="Arial" w:hAnsi="Arial" w:cs="Arial"/>
                <w:color w:val="000000"/>
                <w:sz w:val="20"/>
                <w:szCs w:val="20"/>
              </w:rPr>
            </w:pPr>
            <w:r>
              <w:rPr>
                <w:rFonts w:ascii="Arial" w:eastAsia="Arial" w:hAnsi="Arial" w:cs="Arial"/>
                <w:b/>
                <w:bCs/>
                <w:color w:val="000000"/>
                <w:sz w:val="20"/>
                <w:szCs w:val="20"/>
              </w:rPr>
              <w:t>Sections Modified</w:t>
            </w:r>
          </w:p>
        </w:tc>
      </w:tr>
      <w:tr w:rsidR="006C5228" w14:paraId="6ADFBE4B" w14:textId="77777777">
        <w:tc>
          <w:tcPr>
            <w:tcW w:w="0" w:type="auto"/>
            <w:tcBorders>
              <w:top w:val="outset" w:sz="6" w:space="0" w:color="auto"/>
              <w:left w:val="outset" w:sz="6" w:space="0" w:color="auto"/>
              <w:bottom w:val="outset" w:sz="6" w:space="0" w:color="auto"/>
              <w:right w:val="outset" w:sz="6" w:space="0" w:color="auto"/>
            </w:tcBorders>
            <w:vAlign w:val="center"/>
          </w:tcPr>
          <w:p w14:paraId="70943C05" w14:textId="77777777" w:rsidR="00982D06" w:rsidRDefault="00D96E42">
            <w:pPr>
              <w:rPr>
                <w:rFonts w:ascii="Arial" w:eastAsia="Arial" w:hAnsi="Arial" w:cs="Arial"/>
                <w:color w:val="000000"/>
                <w:sz w:val="20"/>
                <w:szCs w:val="20"/>
              </w:rPr>
            </w:pPr>
            <w:r>
              <w:rPr>
                <w:rFonts w:ascii="Arial" w:eastAsia="Arial" w:hAnsi="Arial" w:cs="Arial"/>
                <w:color w:val="000000"/>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14:paraId="01CF72D9" w14:textId="77777777" w:rsidR="00982D06" w:rsidRDefault="00D96E42">
            <w:pPr>
              <w:rPr>
                <w:rFonts w:ascii="Arial" w:eastAsia="Arial" w:hAnsi="Arial" w:cs="Arial"/>
                <w:color w:val="000000"/>
                <w:sz w:val="20"/>
                <w:szCs w:val="20"/>
              </w:rPr>
            </w:pPr>
            <w:r>
              <w:rPr>
                <w:rFonts w:ascii="Arial" w:eastAsia="Arial" w:hAnsi="Arial" w:cs="Arial"/>
                <w:color w:val="000000"/>
                <w:sz w:val="20"/>
                <w:szCs w:val="20"/>
              </w:rPr>
              <w:t>Vice-Chancellor</w:t>
            </w:r>
          </w:p>
        </w:tc>
        <w:tc>
          <w:tcPr>
            <w:tcW w:w="0" w:type="auto"/>
            <w:tcBorders>
              <w:top w:val="outset" w:sz="6" w:space="0" w:color="auto"/>
              <w:left w:val="outset" w:sz="6" w:space="0" w:color="auto"/>
              <w:bottom w:val="outset" w:sz="6" w:space="0" w:color="auto"/>
              <w:right w:val="outset" w:sz="6" w:space="0" w:color="auto"/>
            </w:tcBorders>
            <w:vAlign w:val="center"/>
          </w:tcPr>
          <w:p w14:paraId="0E759905" w14:textId="77777777" w:rsidR="00982D06" w:rsidRDefault="00D96E42">
            <w:pPr>
              <w:rPr>
                <w:rFonts w:ascii="Arial" w:eastAsia="Arial" w:hAnsi="Arial" w:cs="Arial"/>
                <w:color w:val="000000"/>
                <w:sz w:val="20"/>
                <w:szCs w:val="20"/>
              </w:rPr>
            </w:pPr>
            <w:r>
              <w:rPr>
                <w:rFonts w:ascii="Arial" w:eastAsia="Arial" w:hAnsi="Arial" w:cs="Arial"/>
                <w:color w:val="000000"/>
                <w:sz w:val="20"/>
                <w:szCs w:val="20"/>
              </w:rPr>
              <w:t>9 December 2020</w:t>
            </w:r>
          </w:p>
        </w:tc>
        <w:tc>
          <w:tcPr>
            <w:tcW w:w="0" w:type="auto"/>
            <w:tcBorders>
              <w:top w:val="outset" w:sz="6" w:space="0" w:color="auto"/>
              <w:left w:val="outset" w:sz="6" w:space="0" w:color="auto"/>
              <w:bottom w:val="outset" w:sz="6" w:space="0" w:color="auto"/>
              <w:right w:val="outset" w:sz="6" w:space="0" w:color="auto"/>
            </w:tcBorders>
            <w:vAlign w:val="center"/>
          </w:tcPr>
          <w:p w14:paraId="507C1269" w14:textId="77777777" w:rsidR="00982D06" w:rsidRDefault="00D96E42">
            <w:pPr>
              <w:rPr>
                <w:rFonts w:ascii="Arial" w:eastAsia="Arial" w:hAnsi="Arial" w:cs="Arial"/>
                <w:color w:val="000000"/>
                <w:sz w:val="20"/>
                <w:szCs w:val="20"/>
              </w:rPr>
            </w:pPr>
            <w:r>
              <w:rPr>
                <w:rFonts w:ascii="Arial" w:eastAsia="Arial" w:hAnsi="Arial" w:cs="Arial"/>
                <w:color w:val="000000"/>
                <w:sz w:val="20"/>
                <w:szCs w:val="20"/>
              </w:rPr>
              <w:t>11 December 2020</w:t>
            </w:r>
          </w:p>
        </w:tc>
        <w:tc>
          <w:tcPr>
            <w:tcW w:w="0" w:type="auto"/>
            <w:tcBorders>
              <w:top w:val="outset" w:sz="6" w:space="0" w:color="auto"/>
              <w:left w:val="outset" w:sz="6" w:space="0" w:color="auto"/>
              <w:bottom w:val="outset" w:sz="6" w:space="0" w:color="auto"/>
              <w:right w:val="outset" w:sz="6" w:space="0" w:color="auto"/>
            </w:tcBorders>
            <w:vAlign w:val="center"/>
          </w:tcPr>
          <w:p w14:paraId="42DB1C76" w14:textId="77777777" w:rsidR="00982D06" w:rsidRDefault="00D96E42">
            <w:pPr>
              <w:rPr>
                <w:rFonts w:ascii="Arial" w:eastAsia="Arial" w:hAnsi="Arial" w:cs="Arial"/>
                <w:color w:val="000000"/>
                <w:sz w:val="20"/>
                <w:szCs w:val="20"/>
              </w:rPr>
            </w:pPr>
            <w:r>
              <w:rPr>
                <w:rFonts w:ascii="Arial" w:eastAsia="Arial" w:hAnsi="Arial" w:cs="Arial"/>
                <w:color w:val="000000"/>
                <w:sz w:val="20"/>
                <w:szCs w:val="20"/>
              </w:rPr>
              <w:t>New policy.</w:t>
            </w:r>
          </w:p>
        </w:tc>
      </w:tr>
      <w:tr w:rsidR="006C5228" w14:paraId="1429806F" w14:textId="77777777">
        <w:tc>
          <w:tcPr>
            <w:tcW w:w="0" w:type="auto"/>
            <w:tcBorders>
              <w:top w:val="outset" w:sz="6" w:space="0" w:color="auto"/>
              <w:left w:val="outset" w:sz="6" w:space="0" w:color="auto"/>
              <w:bottom w:val="outset" w:sz="6" w:space="0" w:color="auto"/>
              <w:right w:val="outset" w:sz="6" w:space="0" w:color="auto"/>
            </w:tcBorders>
            <w:vAlign w:val="center"/>
          </w:tcPr>
          <w:p w14:paraId="249444E0" w14:textId="77777777" w:rsidR="00982D06" w:rsidRDefault="00D96E42">
            <w:pPr>
              <w:rPr>
                <w:rFonts w:ascii="Arial" w:eastAsia="Arial" w:hAnsi="Arial" w:cs="Arial"/>
                <w:color w:val="000000"/>
                <w:sz w:val="20"/>
                <w:szCs w:val="20"/>
              </w:rPr>
            </w:pPr>
            <w:r>
              <w:rPr>
                <w:rFonts w:ascii="Arial" w:eastAsia="Arial" w:hAnsi="Arial" w:cs="Arial"/>
                <w:color w:val="000000"/>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tcPr>
          <w:p w14:paraId="67230224" w14:textId="77777777" w:rsidR="00982D06" w:rsidRDefault="00D96E42">
            <w:pPr>
              <w:rPr>
                <w:rFonts w:ascii="Arial" w:eastAsia="Arial" w:hAnsi="Arial" w:cs="Arial"/>
                <w:color w:val="000000"/>
                <w:sz w:val="20"/>
                <w:szCs w:val="20"/>
              </w:rPr>
            </w:pPr>
            <w:r>
              <w:rPr>
                <w:rFonts w:ascii="Arial" w:eastAsia="Arial" w:hAnsi="Arial" w:cs="Arial"/>
                <w:color w:val="000000"/>
                <w:sz w:val="20"/>
                <w:szCs w:val="20"/>
              </w:rPr>
              <w:t>Policy Officer</w:t>
            </w:r>
          </w:p>
        </w:tc>
        <w:tc>
          <w:tcPr>
            <w:tcW w:w="0" w:type="auto"/>
            <w:tcBorders>
              <w:top w:val="outset" w:sz="6" w:space="0" w:color="auto"/>
              <w:left w:val="outset" w:sz="6" w:space="0" w:color="auto"/>
              <w:bottom w:val="outset" w:sz="6" w:space="0" w:color="auto"/>
              <w:right w:val="outset" w:sz="6" w:space="0" w:color="auto"/>
            </w:tcBorders>
            <w:vAlign w:val="center"/>
          </w:tcPr>
          <w:p w14:paraId="451604D5" w14:textId="77777777" w:rsidR="00982D06" w:rsidRDefault="00D96E42">
            <w:pPr>
              <w:rPr>
                <w:rFonts w:ascii="Arial" w:eastAsia="Arial" w:hAnsi="Arial" w:cs="Arial"/>
                <w:color w:val="000000"/>
                <w:sz w:val="20"/>
                <w:szCs w:val="20"/>
              </w:rPr>
            </w:pPr>
            <w:r>
              <w:rPr>
                <w:rFonts w:ascii="Arial" w:eastAsia="Arial" w:hAnsi="Arial" w:cs="Arial"/>
                <w:color w:val="000000"/>
                <w:sz w:val="20"/>
                <w:szCs w:val="20"/>
              </w:rPr>
              <w:t>3 February 2021</w:t>
            </w:r>
          </w:p>
        </w:tc>
        <w:tc>
          <w:tcPr>
            <w:tcW w:w="0" w:type="auto"/>
            <w:tcBorders>
              <w:top w:val="outset" w:sz="6" w:space="0" w:color="auto"/>
              <w:left w:val="outset" w:sz="6" w:space="0" w:color="auto"/>
              <w:bottom w:val="outset" w:sz="6" w:space="0" w:color="auto"/>
              <w:right w:val="outset" w:sz="6" w:space="0" w:color="auto"/>
            </w:tcBorders>
            <w:vAlign w:val="center"/>
          </w:tcPr>
          <w:p w14:paraId="78C42C7A" w14:textId="77777777" w:rsidR="00982D06" w:rsidRDefault="00D96E42">
            <w:pPr>
              <w:rPr>
                <w:rFonts w:ascii="Arial" w:eastAsia="Arial" w:hAnsi="Arial" w:cs="Arial"/>
                <w:color w:val="000000"/>
                <w:sz w:val="20"/>
                <w:szCs w:val="20"/>
              </w:rPr>
            </w:pPr>
            <w:r>
              <w:rPr>
                <w:rFonts w:ascii="Arial" w:eastAsia="Arial" w:hAnsi="Arial" w:cs="Arial"/>
                <w:color w:val="000000"/>
                <w:sz w:val="20"/>
                <w:szCs w:val="20"/>
              </w:rPr>
              <w:t>3 February 2021</w:t>
            </w:r>
          </w:p>
        </w:tc>
        <w:tc>
          <w:tcPr>
            <w:tcW w:w="0" w:type="auto"/>
            <w:tcBorders>
              <w:top w:val="outset" w:sz="6" w:space="0" w:color="auto"/>
              <w:left w:val="outset" w:sz="6" w:space="0" w:color="auto"/>
              <w:bottom w:val="outset" w:sz="6" w:space="0" w:color="auto"/>
              <w:right w:val="outset" w:sz="6" w:space="0" w:color="auto"/>
            </w:tcBorders>
            <w:vAlign w:val="center"/>
          </w:tcPr>
          <w:p w14:paraId="18EB4101" w14:textId="77777777" w:rsidR="00982D06" w:rsidRDefault="00D96E42">
            <w:pPr>
              <w:rPr>
                <w:rFonts w:ascii="Arial" w:eastAsia="Arial" w:hAnsi="Arial" w:cs="Arial"/>
                <w:color w:val="000000"/>
                <w:sz w:val="20"/>
                <w:szCs w:val="20"/>
              </w:rPr>
            </w:pPr>
            <w:r>
              <w:rPr>
                <w:rFonts w:ascii="Arial" w:eastAsia="Arial" w:hAnsi="Arial" w:cs="Arial"/>
                <w:color w:val="000000"/>
                <w:sz w:val="20"/>
                <w:szCs w:val="20"/>
              </w:rPr>
              <w:t>Corrected errors in attributes. </w:t>
            </w:r>
          </w:p>
        </w:tc>
      </w:tr>
      <w:tr w:rsidR="006C5228" w14:paraId="70816702" w14:textId="77777777">
        <w:tc>
          <w:tcPr>
            <w:tcW w:w="0" w:type="auto"/>
            <w:tcBorders>
              <w:top w:val="outset" w:sz="6" w:space="0" w:color="auto"/>
              <w:left w:val="outset" w:sz="6" w:space="0" w:color="auto"/>
              <w:bottom w:val="outset" w:sz="6" w:space="0" w:color="auto"/>
              <w:right w:val="outset" w:sz="6" w:space="0" w:color="auto"/>
            </w:tcBorders>
            <w:vAlign w:val="center"/>
          </w:tcPr>
          <w:p w14:paraId="1730D73A" w14:textId="77777777" w:rsidR="00982D06" w:rsidRDefault="00D96E42">
            <w:pPr>
              <w:rPr>
                <w:rFonts w:ascii="Arial" w:eastAsia="Arial" w:hAnsi="Arial" w:cs="Arial"/>
                <w:color w:val="000000"/>
                <w:sz w:val="20"/>
                <w:szCs w:val="20"/>
              </w:rPr>
            </w:pPr>
            <w:r>
              <w:rPr>
                <w:rFonts w:ascii="Arial" w:eastAsia="Arial" w:hAnsi="Arial" w:cs="Arial"/>
                <w:color w:val="000000"/>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tcPr>
          <w:p w14:paraId="47BD88B0" w14:textId="77777777" w:rsidR="00982D06" w:rsidRDefault="00D96E42">
            <w:pPr>
              <w:rPr>
                <w:rFonts w:ascii="Arial" w:eastAsia="Arial" w:hAnsi="Arial" w:cs="Arial"/>
                <w:color w:val="000000"/>
                <w:sz w:val="20"/>
                <w:szCs w:val="20"/>
              </w:rPr>
            </w:pPr>
            <w:r>
              <w:rPr>
                <w:rFonts w:ascii="Arial" w:eastAsia="Arial" w:hAnsi="Arial" w:cs="Arial"/>
                <w:color w:val="000000"/>
                <w:sz w:val="20"/>
                <w:szCs w:val="20"/>
              </w:rPr>
              <w:t>Principal Adviser, Student Grievances and Complaints</w:t>
            </w:r>
          </w:p>
        </w:tc>
        <w:tc>
          <w:tcPr>
            <w:tcW w:w="0" w:type="auto"/>
            <w:tcBorders>
              <w:top w:val="outset" w:sz="6" w:space="0" w:color="auto"/>
              <w:left w:val="outset" w:sz="6" w:space="0" w:color="auto"/>
              <w:bottom w:val="outset" w:sz="6" w:space="0" w:color="auto"/>
              <w:right w:val="outset" w:sz="6" w:space="0" w:color="auto"/>
            </w:tcBorders>
            <w:vAlign w:val="center"/>
          </w:tcPr>
          <w:p w14:paraId="4D319FC1" w14:textId="77777777" w:rsidR="00982D06" w:rsidRDefault="00D96E42">
            <w:pPr>
              <w:rPr>
                <w:rFonts w:ascii="Arial" w:eastAsia="Arial" w:hAnsi="Arial" w:cs="Arial"/>
                <w:color w:val="000000"/>
                <w:sz w:val="20"/>
                <w:szCs w:val="20"/>
              </w:rPr>
            </w:pPr>
            <w:r>
              <w:rPr>
                <w:rFonts w:ascii="Arial" w:eastAsia="Arial" w:hAnsi="Arial" w:cs="Arial"/>
                <w:color w:val="000000"/>
                <w:sz w:val="20"/>
                <w:szCs w:val="20"/>
              </w:rPr>
              <w:t>23 March 2021</w:t>
            </w:r>
          </w:p>
        </w:tc>
        <w:tc>
          <w:tcPr>
            <w:tcW w:w="0" w:type="auto"/>
            <w:tcBorders>
              <w:top w:val="outset" w:sz="6" w:space="0" w:color="auto"/>
              <w:left w:val="outset" w:sz="6" w:space="0" w:color="auto"/>
              <w:bottom w:val="outset" w:sz="6" w:space="0" w:color="auto"/>
              <w:right w:val="outset" w:sz="6" w:space="0" w:color="auto"/>
            </w:tcBorders>
            <w:vAlign w:val="center"/>
          </w:tcPr>
          <w:p w14:paraId="03CA8476" w14:textId="77777777" w:rsidR="00982D06" w:rsidRDefault="00D96E42">
            <w:pPr>
              <w:rPr>
                <w:rFonts w:ascii="Arial" w:eastAsia="Arial" w:hAnsi="Arial" w:cs="Arial"/>
                <w:color w:val="000000"/>
                <w:sz w:val="20"/>
                <w:szCs w:val="20"/>
              </w:rPr>
            </w:pPr>
            <w:r>
              <w:rPr>
                <w:rFonts w:ascii="Arial" w:eastAsia="Arial" w:hAnsi="Arial" w:cs="Arial"/>
                <w:color w:val="000000"/>
                <w:sz w:val="20"/>
                <w:szCs w:val="20"/>
              </w:rPr>
              <w:t>23 March 2021</w:t>
            </w:r>
          </w:p>
        </w:tc>
        <w:tc>
          <w:tcPr>
            <w:tcW w:w="0" w:type="auto"/>
            <w:tcBorders>
              <w:top w:val="outset" w:sz="6" w:space="0" w:color="auto"/>
              <w:left w:val="outset" w:sz="6" w:space="0" w:color="auto"/>
              <w:bottom w:val="outset" w:sz="6" w:space="0" w:color="auto"/>
              <w:right w:val="outset" w:sz="6" w:space="0" w:color="auto"/>
            </w:tcBorders>
            <w:vAlign w:val="center"/>
          </w:tcPr>
          <w:p w14:paraId="0B485213" w14:textId="77777777" w:rsidR="00982D06" w:rsidRDefault="00D96E42">
            <w:pPr>
              <w:rPr>
                <w:rFonts w:ascii="Arial" w:eastAsia="Arial" w:hAnsi="Arial" w:cs="Arial"/>
                <w:color w:val="000000"/>
                <w:sz w:val="20"/>
                <w:szCs w:val="20"/>
              </w:rPr>
            </w:pPr>
            <w:r>
              <w:rPr>
                <w:rFonts w:ascii="Arial" w:eastAsia="Arial" w:hAnsi="Arial" w:cs="Arial"/>
                <w:color w:val="000000"/>
                <w:sz w:val="20"/>
                <w:szCs w:val="20"/>
              </w:rPr>
              <w:t>Section 6 - editorial amendment to terminology for consistency. </w:t>
            </w:r>
          </w:p>
        </w:tc>
      </w:tr>
      <w:tr w:rsidR="00AF5B06" w14:paraId="507685AA" w14:textId="77777777">
        <w:tc>
          <w:tcPr>
            <w:tcW w:w="0" w:type="auto"/>
            <w:tcBorders>
              <w:top w:val="outset" w:sz="6" w:space="0" w:color="auto"/>
              <w:left w:val="outset" w:sz="6" w:space="0" w:color="auto"/>
              <w:bottom w:val="outset" w:sz="6" w:space="0" w:color="auto"/>
              <w:right w:val="outset" w:sz="6" w:space="0" w:color="auto"/>
            </w:tcBorders>
            <w:vAlign w:val="center"/>
          </w:tcPr>
          <w:p w14:paraId="0007F3BD" w14:textId="0A2D3201" w:rsidR="00257891" w:rsidRDefault="00257891">
            <w:pPr>
              <w:rPr>
                <w:rFonts w:ascii="Arial" w:eastAsia="Arial" w:hAnsi="Arial" w:cs="Arial"/>
                <w:color w:val="000000"/>
                <w:sz w:val="20"/>
                <w:szCs w:val="20"/>
              </w:rPr>
            </w:pPr>
            <w:r>
              <w:rPr>
                <w:rFonts w:ascii="Arial" w:eastAsia="Arial" w:hAnsi="Arial" w:cs="Arial"/>
                <w:color w:val="000000"/>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tcPr>
          <w:p w14:paraId="4C1E3D67" w14:textId="56856D23" w:rsidR="00257891" w:rsidRDefault="002B1824">
            <w:pPr>
              <w:rPr>
                <w:rFonts w:ascii="Arial" w:eastAsia="Arial" w:hAnsi="Arial" w:cs="Arial"/>
                <w:color w:val="000000"/>
                <w:sz w:val="20"/>
                <w:szCs w:val="20"/>
              </w:rPr>
            </w:pPr>
            <w:r>
              <w:rPr>
                <w:rFonts w:ascii="Arial" w:eastAsia="Arial" w:hAnsi="Arial" w:cs="Arial"/>
                <w:color w:val="000000"/>
                <w:sz w:val="20"/>
                <w:szCs w:val="20"/>
              </w:rPr>
              <w:t>Principal Adviser, Student Conduct</w:t>
            </w:r>
          </w:p>
        </w:tc>
        <w:tc>
          <w:tcPr>
            <w:tcW w:w="0" w:type="auto"/>
            <w:tcBorders>
              <w:top w:val="outset" w:sz="6" w:space="0" w:color="auto"/>
              <w:left w:val="outset" w:sz="6" w:space="0" w:color="auto"/>
              <w:bottom w:val="outset" w:sz="6" w:space="0" w:color="auto"/>
              <w:right w:val="outset" w:sz="6" w:space="0" w:color="auto"/>
            </w:tcBorders>
            <w:vAlign w:val="center"/>
          </w:tcPr>
          <w:p w14:paraId="3F26648C" w14:textId="25B20114" w:rsidR="00257891" w:rsidRDefault="00B83136">
            <w:pPr>
              <w:rPr>
                <w:rFonts w:ascii="Arial" w:eastAsia="Arial" w:hAnsi="Arial" w:cs="Arial"/>
                <w:color w:val="000000"/>
                <w:sz w:val="20"/>
                <w:szCs w:val="20"/>
              </w:rPr>
            </w:pPr>
            <w:r>
              <w:rPr>
                <w:rFonts w:ascii="Arial" w:eastAsia="Arial" w:hAnsi="Arial" w:cs="Arial"/>
                <w:color w:val="000000"/>
                <w:sz w:val="20"/>
                <w:szCs w:val="20"/>
              </w:rPr>
              <w:t>3 August 2022</w:t>
            </w:r>
          </w:p>
        </w:tc>
        <w:tc>
          <w:tcPr>
            <w:tcW w:w="0" w:type="auto"/>
            <w:tcBorders>
              <w:top w:val="outset" w:sz="6" w:space="0" w:color="auto"/>
              <w:left w:val="outset" w:sz="6" w:space="0" w:color="auto"/>
              <w:bottom w:val="outset" w:sz="6" w:space="0" w:color="auto"/>
              <w:right w:val="outset" w:sz="6" w:space="0" w:color="auto"/>
            </w:tcBorders>
            <w:vAlign w:val="center"/>
          </w:tcPr>
          <w:p w14:paraId="3EEC24F4" w14:textId="4B11F2AF" w:rsidR="00257891" w:rsidRDefault="0095170F">
            <w:pPr>
              <w:rPr>
                <w:rFonts w:ascii="Arial" w:eastAsia="Arial" w:hAnsi="Arial" w:cs="Arial"/>
                <w:color w:val="000000"/>
                <w:sz w:val="20"/>
                <w:szCs w:val="20"/>
              </w:rPr>
            </w:pPr>
            <w:r>
              <w:rPr>
                <w:rFonts w:ascii="Arial" w:eastAsia="Arial" w:hAnsi="Arial" w:cs="Arial"/>
                <w:color w:val="000000"/>
                <w:sz w:val="20"/>
                <w:szCs w:val="20"/>
              </w:rPr>
              <w:t>3 August 2022</w:t>
            </w:r>
          </w:p>
        </w:tc>
        <w:tc>
          <w:tcPr>
            <w:tcW w:w="0" w:type="auto"/>
            <w:tcBorders>
              <w:top w:val="outset" w:sz="6" w:space="0" w:color="auto"/>
              <w:left w:val="outset" w:sz="6" w:space="0" w:color="auto"/>
              <w:bottom w:val="outset" w:sz="6" w:space="0" w:color="auto"/>
              <w:right w:val="outset" w:sz="6" w:space="0" w:color="auto"/>
            </w:tcBorders>
            <w:vAlign w:val="center"/>
          </w:tcPr>
          <w:p w14:paraId="0452732B" w14:textId="053970C4" w:rsidR="00257891" w:rsidRDefault="00A51F68">
            <w:pPr>
              <w:rPr>
                <w:rFonts w:ascii="Arial" w:eastAsia="Arial" w:hAnsi="Arial" w:cs="Arial"/>
                <w:color w:val="000000"/>
                <w:sz w:val="20"/>
                <w:szCs w:val="20"/>
              </w:rPr>
            </w:pPr>
            <w:r>
              <w:rPr>
                <w:rFonts w:ascii="Arial" w:eastAsia="Arial" w:hAnsi="Arial" w:cs="Arial"/>
                <w:color w:val="000000"/>
                <w:sz w:val="20"/>
                <w:szCs w:val="20"/>
              </w:rPr>
              <w:t>Name change to policy steward from Principal Adviser, Student Grievances and Complaints to Principal Adviser, Student Conduct.</w:t>
            </w:r>
          </w:p>
        </w:tc>
      </w:tr>
      <w:tr w:rsidR="00AF5B06" w14:paraId="665A4917" w14:textId="77777777">
        <w:tc>
          <w:tcPr>
            <w:tcW w:w="0" w:type="auto"/>
            <w:tcBorders>
              <w:top w:val="outset" w:sz="6" w:space="0" w:color="auto"/>
              <w:left w:val="outset" w:sz="6" w:space="0" w:color="auto"/>
              <w:bottom w:val="outset" w:sz="6" w:space="0" w:color="auto"/>
              <w:right w:val="outset" w:sz="6" w:space="0" w:color="auto"/>
            </w:tcBorders>
            <w:vAlign w:val="center"/>
          </w:tcPr>
          <w:p w14:paraId="3665855C" w14:textId="1E137EF4" w:rsidR="00257891" w:rsidRDefault="00257891">
            <w:pPr>
              <w:rPr>
                <w:rFonts w:ascii="Arial" w:eastAsia="Arial" w:hAnsi="Arial" w:cs="Arial"/>
                <w:color w:val="000000"/>
                <w:sz w:val="20"/>
                <w:szCs w:val="20"/>
              </w:rPr>
            </w:pPr>
            <w:r>
              <w:rPr>
                <w:rFonts w:ascii="Arial" w:eastAsia="Arial" w:hAnsi="Arial" w:cs="Arial"/>
                <w:color w:val="000000"/>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tcPr>
          <w:p w14:paraId="6FB9E8CB" w14:textId="080C5ACA" w:rsidR="00257891" w:rsidRDefault="004042EA">
            <w:pPr>
              <w:rPr>
                <w:rFonts w:ascii="Arial" w:eastAsia="Arial" w:hAnsi="Arial" w:cs="Arial"/>
                <w:color w:val="000000"/>
                <w:sz w:val="20"/>
                <w:szCs w:val="20"/>
              </w:rPr>
            </w:pPr>
            <w:r>
              <w:rPr>
                <w:rFonts w:ascii="Arial" w:eastAsia="Arial" w:hAnsi="Arial" w:cs="Arial"/>
                <w:color w:val="000000"/>
                <w:sz w:val="20"/>
                <w:szCs w:val="20"/>
              </w:rPr>
              <w:t>Principal Adviser, Student Conduct</w:t>
            </w:r>
          </w:p>
        </w:tc>
        <w:tc>
          <w:tcPr>
            <w:tcW w:w="0" w:type="auto"/>
            <w:tcBorders>
              <w:top w:val="outset" w:sz="6" w:space="0" w:color="auto"/>
              <w:left w:val="outset" w:sz="6" w:space="0" w:color="auto"/>
              <w:bottom w:val="outset" w:sz="6" w:space="0" w:color="auto"/>
              <w:right w:val="outset" w:sz="6" w:space="0" w:color="auto"/>
            </w:tcBorders>
            <w:vAlign w:val="center"/>
          </w:tcPr>
          <w:p w14:paraId="4A24B3CC" w14:textId="6B8A0307" w:rsidR="00257891" w:rsidRDefault="007D25DF">
            <w:pPr>
              <w:rPr>
                <w:rFonts w:ascii="Arial" w:eastAsia="Arial" w:hAnsi="Arial" w:cs="Arial"/>
                <w:color w:val="000000"/>
                <w:sz w:val="20"/>
                <w:szCs w:val="20"/>
              </w:rPr>
            </w:pPr>
            <w:r>
              <w:rPr>
                <w:rFonts w:ascii="Arial" w:eastAsia="Arial" w:hAnsi="Arial" w:cs="Arial"/>
                <w:color w:val="000000"/>
                <w:sz w:val="20"/>
                <w:szCs w:val="20"/>
              </w:rPr>
              <w:t>8</w:t>
            </w:r>
            <w:r w:rsidR="00D46D25">
              <w:rPr>
                <w:rFonts w:ascii="Arial" w:eastAsia="Arial" w:hAnsi="Arial" w:cs="Arial"/>
                <w:color w:val="000000"/>
                <w:sz w:val="20"/>
                <w:szCs w:val="20"/>
              </w:rPr>
              <w:t xml:space="preserve"> December 2022</w:t>
            </w:r>
          </w:p>
        </w:tc>
        <w:tc>
          <w:tcPr>
            <w:tcW w:w="0" w:type="auto"/>
            <w:tcBorders>
              <w:top w:val="outset" w:sz="6" w:space="0" w:color="auto"/>
              <w:left w:val="outset" w:sz="6" w:space="0" w:color="auto"/>
              <w:bottom w:val="outset" w:sz="6" w:space="0" w:color="auto"/>
              <w:right w:val="outset" w:sz="6" w:space="0" w:color="auto"/>
            </w:tcBorders>
            <w:vAlign w:val="center"/>
          </w:tcPr>
          <w:p w14:paraId="7D128348" w14:textId="5C90ECA4" w:rsidR="00257891" w:rsidRDefault="00594C99">
            <w:pPr>
              <w:rPr>
                <w:rFonts w:ascii="Arial" w:eastAsia="Arial" w:hAnsi="Arial" w:cs="Arial"/>
                <w:color w:val="000000"/>
                <w:sz w:val="20"/>
                <w:szCs w:val="20"/>
              </w:rPr>
            </w:pPr>
            <w:r>
              <w:rPr>
                <w:rFonts w:ascii="Arial" w:eastAsia="Arial" w:hAnsi="Arial" w:cs="Arial"/>
                <w:color w:val="000000"/>
                <w:sz w:val="20"/>
                <w:szCs w:val="20"/>
              </w:rPr>
              <w:t>8</w:t>
            </w:r>
            <w:r w:rsidR="00D46D25">
              <w:rPr>
                <w:rFonts w:ascii="Arial" w:eastAsia="Arial" w:hAnsi="Arial" w:cs="Arial"/>
                <w:color w:val="000000"/>
                <w:sz w:val="20"/>
                <w:szCs w:val="20"/>
              </w:rPr>
              <w:t xml:space="preserve"> December 2022</w:t>
            </w:r>
          </w:p>
        </w:tc>
        <w:tc>
          <w:tcPr>
            <w:tcW w:w="0" w:type="auto"/>
            <w:tcBorders>
              <w:top w:val="outset" w:sz="6" w:space="0" w:color="auto"/>
              <w:left w:val="outset" w:sz="6" w:space="0" w:color="auto"/>
              <w:bottom w:val="outset" w:sz="6" w:space="0" w:color="auto"/>
              <w:right w:val="outset" w:sz="6" w:space="0" w:color="auto"/>
            </w:tcBorders>
            <w:vAlign w:val="center"/>
          </w:tcPr>
          <w:p w14:paraId="4A4349C1" w14:textId="29503408" w:rsidR="00257891" w:rsidRDefault="006C5228">
            <w:pPr>
              <w:rPr>
                <w:rFonts w:ascii="Arial" w:eastAsia="Arial" w:hAnsi="Arial" w:cs="Arial"/>
                <w:color w:val="000000"/>
                <w:sz w:val="20"/>
                <w:szCs w:val="20"/>
              </w:rPr>
            </w:pPr>
            <w:r>
              <w:rPr>
                <w:rFonts w:ascii="Arial" w:eastAsia="Arial" w:hAnsi="Arial" w:cs="Arial"/>
                <w:color w:val="000000"/>
                <w:sz w:val="20"/>
                <w:szCs w:val="20"/>
              </w:rPr>
              <w:t>Editorial amendments, changes to clarify process gaps, and to identify points at which this Policy may draw upon the provisions of the Student Conduct Policy in response to behavioural concerns and changes to reflect amendments made to the Vice-Chancellor Regulation</w:t>
            </w:r>
          </w:p>
        </w:tc>
      </w:tr>
      <w:tr w:rsidR="00D84FBE" w14:paraId="533A349E" w14:textId="77777777">
        <w:tc>
          <w:tcPr>
            <w:tcW w:w="0" w:type="auto"/>
            <w:tcBorders>
              <w:top w:val="outset" w:sz="6" w:space="0" w:color="auto"/>
              <w:left w:val="outset" w:sz="6" w:space="0" w:color="auto"/>
              <w:bottom w:val="outset" w:sz="6" w:space="0" w:color="auto"/>
              <w:right w:val="outset" w:sz="6" w:space="0" w:color="auto"/>
            </w:tcBorders>
            <w:vAlign w:val="center"/>
          </w:tcPr>
          <w:p w14:paraId="75EA5E16" w14:textId="7B016324" w:rsidR="00D84FBE" w:rsidRDefault="00D84FBE">
            <w:pPr>
              <w:rPr>
                <w:rFonts w:ascii="Arial" w:eastAsia="Arial" w:hAnsi="Arial" w:cs="Arial"/>
                <w:color w:val="000000"/>
                <w:sz w:val="20"/>
                <w:szCs w:val="20"/>
              </w:rPr>
            </w:pPr>
            <w:r>
              <w:rPr>
                <w:rFonts w:ascii="Arial" w:eastAsia="Arial" w:hAnsi="Arial" w:cs="Arial"/>
                <w:color w:val="000000"/>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tcPr>
          <w:p w14:paraId="3B285CB1" w14:textId="4C95FF89" w:rsidR="00D84FBE" w:rsidRDefault="00D84FBE">
            <w:pPr>
              <w:rPr>
                <w:rFonts w:ascii="Arial" w:eastAsia="Arial" w:hAnsi="Arial" w:cs="Arial"/>
                <w:color w:val="000000"/>
                <w:sz w:val="20"/>
                <w:szCs w:val="20"/>
              </w:rPr>
            </w:pPr>
            <w:r>
              <w:rPr>
                <w:rFonts w:ascii="Arial" w:eastAsia="Arial" w:hAnsi="Arial" w:cs="Arial"/>
                <w:color w:val="000000"/>
                <w:sz w:val="20"/>
                <w:szCs w:val="20"/>
              </w:rPr>
              <w:t>Principal Adviser, Student Conduct</w:t>
            </w:r>
          </w:p>
        </w:tc>
        <w:tc>
          <w:tcPr>
            <w:tcW w:w="0" w:type="auto"/>
            <w:tcBorders>
              <w:top w:val="outset" w:sz="6" w:space="0" w:color="auto"/>
              <w:left w:val="outset" w:sz="6" w:space="0" w:color="auto"/>
              <w:bottom w:val="outset" w:sz="6" w:space="0" w:color="auto"/>
              <w:right w:val="outset" w:sz="6" w:space="0" w:color="auto"/>
            </w:tcBorders>
            <w:vAlign w:val="center"/>
          </w:tcPr>
          <w:p w14:paraId="1678BEF5" w14:textId="77397E36" w:rsidR="00D84FBE" w:rsidRDefault="00296CF9">
            <w:pPr>
              <w:rPr>
                <w:rFonts w:ascii="Arial" w:eastAsia="Arial" w:hAnsi="Arial" w:cs="Arial"/>
                <w:color w:val="000000"/>
                <w:sz w:val="20"/>
                <w:szCs w:val="20"/>
              </w:rPr>
            </w:pPr>
            <w:r>
              <w:rPr>
                <w:rFonts w:ascii="Arial" w:eastAsia="Arial" w:hAnsi="Arial" w:cs="Arial"/>
                <w:color w:val="000000"/>
                <w:sz w:val="20"/>
                <w:szCs w:val="20"/>
              </w:rPr>
              <w:t>9 January 2022</w:t>
            </w:r>
          </w:p>
        </w:tc>
        <w:tc>
          <w:tcPr>
            <w:tcW w:w="0" w:type="auto"/>
            <w:tcBorders>
              <w:top w:val="outset" w:sz="6" w:space="0" w:color="auto"/>
              <w:left w:val="outset" w:sz="6" w:space="0" w:color="auto"/>
              <w:bottom w:val="outset" w:sz="6" w:space="0" w:color="auto"/>
              <w:right w:val="outset" w:sz="6" w:space="0" w:color="auto"/>
            </w:tcBorders>
            <w:vAlign w:val="center"/>
          </w:tcPr>
          <w:p w14:paraId="31426983" w14:textId="6FAD2B16" w:rsidR="00D84FBE" w:rsidRDefault="00296CF9">
            <w:pPr>
              <w:rPr>
                <w:rFonts w:ascii="Arial" w:eastAsia="Arial" w:hAnsi="Arial" w:cs="Arial"/>
                <w:color w:val="000000"/>
                <w:sz w:val="20"/>
                <w:szCs w:val="20"/>
              </w:rPr>
            </w:pPr>
            <w:r>
              <w:rPr>
                <w:rFonts w:ascii="Arial" w:eastAsia="Arial" w:hAnsi="Arial" w:cs="Arial"/>
                <w:color w:val="000000"/>
                <w:sz w:val="20"/>
                <w:szCs w:val="20"/>
              </w:rPr>
              <w:t>9 January 2022</w:t>
            </w:r>
          </w:p>
        </w:tc>
        <w:tc>
          <w:tcPr>
            <w:tcW w:w="0" w:type="auto"/>
            <w:tcBorders>
              <w:top w:val="outset" w:sz="6" w:space="0" w:color="auto"/>
              <w:left w:val="outset" w:sz="6" w:space="0" w:color="auto"/>
              <w:bottom w:val="outset" w:sz="6" w:space="0" w:color="auto"/>
              <w:right w:val="outset" w:sz="6" w:space="0" w:color="auto"/>
            </w:tcBorders>
            <w:vAlign w:val="center"/>
          </w:tcPr>
          <w:p w14:paraId="5BD69C62" w14:textId="18E1BE49" w:rsidR="00D84FBE" w:rsidRDefault="00296CF9">
            <w:pPr>
              <w:rPr>
                <w:rFonts w:ascii="Arial" w:eastAsia="Arial" w:hAnsi="Arial" w:cs="Arial"/>
                <w:color w:val="000000"/>
                <w:sz w:val="20"/>
                <w:szCs w:val="20"/>
              </w:rPr>
            </w:pPr>
            <w:r>
              <w:rPr>
                <w:rFonts w:ascii="Arial" w:eastAsia="Arial" w:hAnsi="Arial" w:cs="Arial"/>
                <w:color w:val="000000"/>
                <w:sz w:val="20"/>
                <w:szCs w:val="20"/>
              </w:rPr>
              <w:t>Editorial amendme</w:t>
            </w:r>
            <w:bookmarkStart w:id="0" w:name="_GoBack"/>
            <w:bookmarkEnd w:id="0"/>
            <w:r>
              <w:rPr>
                <w:rFonts w:ascii="Arial" w:eastAsia="Arial" w:hAnsi="Arial" w:cs="Arial"/>
                <w:color w:val="000000"/>
                <w:sz w:val="20"/>
                <w:szCs w:val="20"/>
              </w:rPr>
              <w:t>nts</w:t>
            </w:r>
            <w:r w:rsidR="00646795">
              <w:rPr>
                <w:rFonts w:ascii="Arial" w:eastAsia="Arial" w:hAnsi="Arial" w:cs="Arial"/>
                <w:color w:val="000000"/>
                <w:sz w:val="20"/>
                <w:szCs w:val="20"/>
              </w:rPr>
              <w:t>.</w:t>
            </w:r>
          </w:p>
        </w:tc>
      </w:tr>
    </w:tbl>
    <w:p w14:paraId="2F59BC33" w14:textId="77777777" w:rsidR="00982D06" w:rsidRDefault="00982D06">
      <w:pPr>
        <w:spacing w:after="160"/>
      </w:pPr>
    </w:p>
    <w:sectPr w:rsidR="00982D06">
      <w:headerReference w:type="even" r:id="rId28"/>
      <w:headerReference w:type="default" r:id="rId29"/>
      <w:footerReference w:type="even" r:id="rId30"/>
      <w:footerReference w:type="default" r:id="rId31"/>
      <w:headerReference w:type="first" r:id="rId32"/>
      <w:footerReference w:type="first" r:id="rId33"/>
      <w:pgSz w:w="12240" w:h="15840"/>
      <w:pgMar w:top="1440" w:right="1800" w:bottom="1440" w:left="1800" w:header="708" w:footer="40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15044" w16cex:dateUtc="2023-01-05T02:33:00Z"/>
  <w16cex:commentExtensible w16cex:durableId="27615071" w16cex:dateUtc="2023-01-05T02:34:00Z"/>
  <w16cex:commentExtensible w16cex:durableId="2761509D" w16cex:dateUtc="2023-01-05T02:35:00Z"/>
  <w16cex:commentExtensible w16cex:durableId="27615155" w16cex:dateUtc="2023-01-05T02:38:00Z"/>
  <w16cex:commentExtensible w16cex:durableId="276151B7" w16cex:dateUtc="2023-01-05T02:40:00Z"/>
  <w16cex:commentExtensible w16cex:durableId="27615141" w16cex:dateUtc="2023-01-05T02:38:00Z"/>
  <w16cex:commentExtensible w16cex:durableId="2761513C" w16cex:dateUtc="2023-01-05T02:38:00Z"/>
  <w16cex:commentExtensible w16cex:durableId="27615132" w16cex:dateUtc="2023-01-05T02:37:00Z"/>
  <w16cex:commentExtensible w16cex:durableId="27615137" w16cex:dateUtc="2023-01-05T02:37:00Z"/>
  <w16cex:commentExtensible w16cex:durableId="276151CB" w16cex:dateUtc="2023-01-05T02:40:00Z"/>
  <w16cex:commentExtensible w16cex:durableId="276151D0" w16cex:dateUtc="2023-01-05T02:40:00Z"/>
  <w16cex:commentExtensible w16cex:durableId="276151D4" w16cex:dateUtc="2023-01-05T02:4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E6F99" w14:textId="77777777" w:rsidR="00744914" w:rsidRDefault="00744914">
      <w:r>
        <w:separator/>
      </w:r>
    </w:p>
  </w:endnote>
  <w:endnote w:type="continuationSeparator" w:id="0">
    <w:p w14:paraId="0E8FF89A" w14:textId="77777777" w:rsidR="00744914" w:rsidRDefault="00744914">
      <w:r>
        <w:continuationSeparator/>
      </w:r>
    </w:p>
  </w:endnote>
  <w:endnote w:type="continuationNotice" w:id="1">
    <w:p w14:paraId="062456CB" w14:textId="77777777" w:rsidR="00744914" w:rsidRDefault="007449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AC300" w14:textId="77777777" w:rsidR="00483FD9" w:rsidRDefault="00483F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CFAFC" w14:textId="77777777" w:rsidR="00982D06" w:rsidRDefault="00D96E42">
    <w:pPr>
      <w:jc w:val="right"/>
    </w:pPr>
    <w:r>
      <w:rPr>
        <w:rFonts w:ascii="Arial" w:eastAsia="Arial" w:hAnsi="Arial" w:cs="Arial"/>
        <w:color w:val="000000"/>
        <w:sz w:val="18"/>
      </w:rPr>
      <w:t xml:space="preserve">Page </w:t>
    </w:r>
    <w:r>
      <w:rPr>
        <w:rFonts w:ascii="Arial" w:eastAsia="Arial" w:hAnsi="Arial" w:cs="Arial"/>
        <w:color w:val="000000"/>
        <w:sz w:val="18"/>
      </w:rPr>
      <w:fldChar w:fldCharType="begin"/>
    </w:r>
    <w:r>
      <w:rPr>
        <w:rFonts w:ascii="Arial" w:eastAsia="Arial" w:hAnsi="Arial" w:cs="Arial"/>
        <w:color w:val="000000"/>
        <w:sz w:val="18"/>
      </w:rPr>
      <w:instrText>PAGE</w:instrText>
    </w:r>
    <w:r>
      <w:rPr>
        <w:rFonts w:ascii="Arial" w:eastAsia="Arial" w:hAnsi="Arial" w:cs="Arial"/>
        <w:color w:val="000000"/>
        <w:sz w:val="18"/>
      </w:rPr>
      <w:fldChar w:fldCharType="separate"/>
    </w:r>
    <w:r w:rsidR="004F5676">
      <w:rPr>
        <w:rFonts w:ascii="Arial" w:eastAsia="Arial" w:hAnsi="Arial" w:cs="Arial"/>
        <w:noProof/>
        <w:color w:val="000000"/>
        <w:sz w:val="18"/>
      </w:rPr>
      <w:t>1</w:t>
    </w:r>
    <w:r>
      <w:rPr>
        <w:rFonts w:ascii="Arial" w:eastAsia="Arial" w:hAnsi="Arial" w:cs="Arial"/>
        <w:color w:val="000000"/>
        <w:sz w:val="18"/>
      </w:rPr>
      <w:fldChar w:fldCharType="end"/>
    </w:r>
    <w:r>
      <w:rPr>
        <w:rFonts w:ascii="Arial" w:eastAsia="Arial" w:hAnsi="Arial" w:cs="Arial"/>
        <w:color w:val="000000"/>
        <w:sz w:val="18"/>
      </w:rPr>
      <w:t xml:space="preserve"> of </w:t>
    </w:r>
    <w:r>
      <w:rPr>
        <w:rFonts w:ascii="Arial" w:eastAsia="Arial" w:hAnsi="Arial" w:cs="Arial"/>
        <w:color w:val="000000"/>
        <w:sz w:val="18"/>
      </w:rPr>
      <w:fldChar w:fldCharType="begin"/>
    </w:r>
    <w:r>
      <w:rPr>
        <w:rFonts w:ascii="Arial" w:eastAsia="Arial" w:hAnsi="Arial" w:cs="Arial"/>
        <w:color w:val="000000"/>
        <w:sz w:val="18"/>
      </w:rPr>
      <w:instrText>NUMPAGES</w:instrText>
    </w:r>
    <w:r>
      <w:rPr>
        <w:rFonts w:ascii="Arial" w:eastAsia="Arial" w:hAnsi="Arial" w:cs="Arial"/>
        <w:color w:val="000000"/>
        <w:sz w:val="18"/>
      </w:rPr>
      <w:fldChar w:fldCharType="separate"/>
    </w:r>
    <w:r w:rsidR="004F5676">
      <w:rPr>
        <w:rFonts w:ascii="Arial" w:eastAsia="Arial" w:hAnsi="Arial" w:cs="Arial"/>
        <w:noProof/>
        <w:color w:val="000000"/>
        <w:sz w:val="18"/>
      </w:rPr>
      <w:t>2</w:t>
    </w:r>
    <w:r>
      <w:rPr>
        <w:rFonts w:ascii="Arial" w:eastAsia="Arial" w:hAnsi="Arial" w:cs="Arial"/>
        <w:color w:val="00000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C5EEB" w14:textId="77777777" w:rsidR="00483FD9" w:rsidRDefault="00483F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892CE" w14:textId="77777777" w:rsidR="00744914" w:rsidRDefault="00744914">
      <w:r>
        <w:separator/>
      </w:r>
    </w:p>
  </w:footnote>
  <w:footnote w:type="continuationSeparator" w:id="0">
    <w:p w14:paraId="2BA27BE2" w14:textId="77777777" w:rsidR="00744914" w:rsidRDefault="00744914">
      <w:r>
        <w:continuationSeparator/>
      </w:r>
    </w:p>
  </w:footnote>
  <w:footnote w:type="continuationNotice" w:id="1">
    <w:p w14:paraId="65730BB5" w14:textId="77777777" w:rsidR="00744914" w:rsidRDefault="007449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38230" w14:textId="77777777" w:rsidR="00483FD9" w:rsidRDefault="00483F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0BA5E" w14:textId="77777777" w:rsidR="00483FD9" w:rsidRDefault="00483F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FAB08" w14:textId="77777777" w:rsidR="00483FD9" w:rsidRDefault="00483F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35648B16">
      <w:start w:val="1"/>
      <w:numFmt w:val="bullet"/>
      <w:lvlText w:val=""/>
      <w:lvlJc w:val="left"/>
      <w:pPr>
        <w:tabs>
          <w:tab w:val="num" w:pos="720"/>
        </w:tabs>
        <w:ind w:left="720" w:hanging="360"/>
      </w:pPr>
      <w:rPr>
        <w:rFonts w:ascii="Symbol" w:hAnsi="Symbol"/>
      </w:rPr>
    </w:lvl>
    <w:lvl w:ilvl="1" w:tplc="3A148BCE">
      <w:start w:val="1"/>
      <w:numFmt w:val="bullet"/>
      <w:lvlText w:val="o"/>
      <w:lvlJc w:val="left"/>
      <w:pPr>
        <w:tabs>
          <w:tab w:val="num" w:pos="1440"/>
        </w:tabs>
        <w:ind w:left="1440" w:hanging="360"/>
      </w:pPr>
      <w:rPr>
        <w:rFonts w:ascii="Courier New" w:hAnsi="Courier New"/>
      </w:rPr>
    </w:lvl>
    <w:lvl w:ilvl="2" w:tplc="C6D45286">
      <w:start w:val="1"/>
      <w:numFmt w:val="bullet"/>
      <w:lvlText w:val=""/>
      <w:lvlJc w:val="left"/>
      <w:pPr>
        <w:tabs>
          <w:tab w:val="num" w:pos="2160"/>
        </w:tabs>
        <w:ind w:left="2160" w:hanging="360"/>
      </w:pPr>
      <w:rPr>
        <w:rFonts w:ascii="Wingdings" w:hAnsi="Wingdings"/>
      </w:rPr>
    </w:lvl>
    <w:lvl w:ilvl="3" w:tplc="569E3E80">
      <w:start w:val="1"/>
      <w:numFmt w:val="bullet"/>
      <w:lvlText w:val=""/>
      <w:lvlJc w:val="left"/>
      <w:pPr>
        <w:tabs>
          <w:tab w:val="num" w:pos="2880"/>
        </w:tabs>
        <w:ind w:left="2880" w:hanging="360"/>
      </w:pPr>
      <w:rPr>
        <w:rFonts w:ascii="Symbol" w:hAnsi="Symbol"/>
      </w:rPr>
    </w:lvl>
    <w:lvl w:ilvl="4" w:tplc="10CCE3B0">
      <w:start w:val="1"/>
      <w:numFmt w:val="bullet"/>
      <w:lvlText w:val="o"/>
      <w:lvlJc w:val="left"/>
      <w:pPr>
        <w:tabs>
          <w:tab w:val="num" w:pos="3600"/>
        </w:tabs>
        <w:ind w:left="3600" w:hanging="360"/>
      </w:pPr>
      <w:rPr>
        <w:rFonts w:ascii="Courier New" w:hAnsi="Courier New"/>
      </w:rPr>
    </w:lvl>
    <w:lvl w:ilvl="5" w:tplc="951E02F4">
      <w:start w:val="1"/>
      <w:numFmt w:val="bullet"/>
      <w:lvlText w:val=""/>
      <w:lvlJc w:val="left"/>
      <w:pPr>
        <w:tabs>
          <w:tab w:val="num" w:pos="4320"/>
        </w:tabs>
        <w:ind w:left="4320" w:hanging="360"/>
      </w:pPr>
      <w:rPr>
        <w:rFonts w:ascii="Wingdings" w:hAnsi="Wingdings"/>
      </w:rPr>
    </w:lvl>
    <w:lvl w:ilvl="6" w:tplc="91447C72">
      <w:start w:val="1"/>
      <w:numFmt w:val="bullet"/>
      <w:lvlText w:val=""/>
      <w:lvlJc w:val="left"/>
      <w:pPr>
        <w:tabs>
          <w:tab w:val="num" w:pos="5040"/>
        </w:tabs>
        <w:ind w:left="5040" w:hanging="360"/>
      </w:pPr>
      <w:rPr>
        <w:rFonts w:ascii="Symbol" w:hAnsi="Symbol"/>
      </w:rPr>
    </w:lvl>
    <w:lvl w:ilvl="7" w:tplc="9CD8A96A">
      <w:start w:val="1"/>
      <w:numFmt w:val="bullet"/>
      <w:lvlText w:val="o"/>
      <w:lvlJc w:val="left"/>
      <w:pPr>
        <w:tabs>
          <w:tab w:val="num" w:pos="5760"/>
        </w:tabs>
        <w:ind w:left="5760" w:hanging="360"/>
      </w:pPr>
      <w:rPr>
        <w:rFonts w:ascii="Courier New" w:hAnsi="Courier New"/>
      </w:rPr>
    </w:lvl>
    <w:lvl w:ilvl="8" w:tplc="F25A1036">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AC388548">
      <w:start w:val="1"/>
      <w:numFmt w:val="bullet"/>
      <w:lvlText w:val=""/>
      <w:lvlJc w:val="left"/>
      <w:pPr>
        <w:tabs>
          <w:tab w:val="num" w:pos="720"/>
        </w:tabs>
        <w:ind w:left="720" w:hanging="360"/>
      </w:pPr>
      <w:rPr>
        <w:rFonts w:ascii="Symbol" w:hAnsi="Symbol"/>
      </w:rPr>
    </w:lvl>
    <w:lvl w:ilvl="1" w:tplc="BD1A0700">
      <w:start w:val="1"/>
      <w:numFmt w:val="bullet"/>
      <w:lvlText w:val="o"/>
      <w:lvlJc w:val="left"/>
      <w:pPr>
        <w:tabs>
          <w:tab w:val="num" w:pos="1440"/>
        </w:tabs>
        <w:ind w:left="1440" w:hanging="360"/>
      </w:pPr>
      <w:rPr>
        <w:rFonts w:ascii="Courier New" w:hAnsi="Courier New"/>
      </w:rPr>
    </w:lvl>
    <w:lvl w:ilvl="2" w:tplc="0C2C6250">
      <w:start w:val="1"/>
      <w:numFmt w:val="bullet"/>
      <w:lvlText w:val=""/>
      <w:lvlJc w:val="left"/>
      <w:pPr>
        <w:tabs>
          <w:tab w:val="num" w:pos="2160"/>
        </w:tabs>
        <w:ind w:left="2160" w:hanging="360"/>
      </w:pPr>
      <w:rPr>
        <w:rFonts w:ascii="Wingdings" w:hAnsi="Wingdings"/>
      </w:rPr>
    </w:lvl>
    <w:lvl w:ilvl="3" w:tplc="F434215E">
      <w:start w:val="1"/>
      <w:numFmt w:val="bullet"/>
      <w:lvlText w:val=""/>
      <w:lvlJc w:val="left"/>
      <w:pPr>
        <w:tabs>
          <w:tab w:val="num" w:pos="2880"/>
        </w:tabs>
        <w:ind w:left="2880" w:hanging="360"/>
      </w:pPr>
      <w:rPr>
        <w:rFonts w:ascii="Symbol" w:hAnsi="Symbol"/>
      </w:rPr>
    </w:lvl>
    <w:lvl w:ilvl="4" w:tplc="9738A676">
      <w:start w:val="1"/>
      <w:numFmt w:val="bullet"/>
      <w:lvlText w:val="o"/>
      <w:lvlJc w:val="left"/>
      <w:pPr>
        <w:tabs>
          <w:tab w:val="num" w:pos="3600"/>
        </w:tabs>
        <w:ind w:left="3600" w:hanging="360"/>
      </w:pPr>
      <w:rPr>
        <w:rFonts w:ascii="Courier New" w:hAnsi="Courier New"/>
      </w:rPr>
    </w:lvl>
    <w:lvl w:ilvl="5" w:tplc="ABF0A25A">
      <w:start w:val="1"/>
      <w:numFmt w:val="bullet"/>
      <w:lvlText w:val=""/>
      <w:lvlJc w:val="left"/>
      <w:pPr>
        <w:tabs>
          <w:tab w:val="num" w:pos="4320"/>
        </w:tabs>
        <w:ind w:left="4320" w:hanging="360"/>
      </w:pPr>
      <w:rPr>
        <w:rFonts w:ascii="Wingdings" w:hAnsi="Wingdings"/>
      </w:rPr>
    </w:lvl>
    <w:lvl w:ilvl="6" w:tplc="08B8BB5A">
      <w:start w:val="1"/>
      <w:numFmt w:val="bullet"/>
      <w:lvlText w:val=""/>
      <w:lvlJc w:val="left"/>
      <w:pPr>
        <w:tabs>
          <w:tab w:val="num" w:pos="5040"/>
        </w:tabs>
        <w:ind w:left="5040" w:hanging="360"/>
      </w:pPr>
      <w:rPr>
        <w:rFonts w:ascii="Symbol" w:hAnsi="Symbol"/>
      </w:rPr>
    </w:lvl>
    <w:lvl w:ilvl="7" w:tplc="1FB0F632">
      <w:start w:val="1"/>
      <w:numFmt w:val="bullet"/>
      <w:lvlText w:val="o"/>
      <w:lvlJc w:val="left"/>
      <w:pPr>
        <w:tabs>
          <w:tab w:val="num" w:pos="5760"/>
        </w:tabs>
        <w:ind w:left="5760" w:hanging="360"/>
      </w:pPr>
      <w:rPr>
        <w:rFonts w:ascii="Courier New" w:hAnsi="Courier New"/>
      </w:rPr>
    </w:lvl>
    <w:lvl w:ilvl="8" w:tplc="60645104">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695ECFE8">
      <w:start w:val="1"/>
      <w:numFmt w:val="bullet"/>
      <w:lvlText w:val=""/>
      <w:lvlJc w:val="left"/>
      <w:pPr>
        <w:tabs>
          <w:tab w:val="num" w:pos="720"/>
        </w:tabs>
        <w:ind w:left="720" w:hanging="360"/>
      </w:pPr>
      <w:rPr>
        <w:rFonts w:ascii="Symbol" w:hAnsi="Symbol"/>
      </w:rPr>
    </w:lvl>
    <w:lvl w:ilvl="1" w:tplc="B138200C">
      <w:start w:val="1"/>
      <w:numFmt w:val="bullet"/>
      <w:lvlText w:val="o"/>
      <w:lvlJc w:val="left"/>
      <w:pPr>
        <w:tabs>
          <w:tab w:val="num" w:pos="1440"/>
        </w:tabs>
        <w:ind w:left="1440" w:hanging="360"/>
      </w:pPr>
      <w:rPr>
        <w:rFonts w:ascii="Courier New" w:hAnsi="Courier New"/>
      </w:rPr>
    </w:lvl>
    <w:lvl w:ilvl="2" w:tplc="F28432EC">
      <w:start w:val="1"/>
      <w:numFmt w:val="bullet"/>
      <w:lvlText w:val=""/>
      <w:lvlJc w:val="left"/>
      <w:pPr>
        <w:tabs>
          <w:tab w:val="num" w:pos="2160"/>
        </w:tabs>
        <w:ind w:left="2160" w:hanging="360"/>
      </w:pPr>
      <w:rPr>
        <w:rFonts w:ascii="Wingdings" w:hAnsi="Wingdings"/>
      </w:rPr>
    </w:lvl>
    <w:lvl w:ilvl="3" w:tplc="D348272E">
      <w:start w:val="1"/>
      <w:numFmt w:val="bullet"/>
      <w:lvlText w:val=""/>
      <w:lvlJc w:val="left"/>
      <w:pPr>
        <w:tabs>
          <w:tab w:val="num" w:pos="2880"/>
        </w:tabs>
        <w:ind w:left="2880" w:hanging="360"/>
      </w:pPr>
      <w:rPr>
        <w:rFonts w:ascii="Symbol" w:hAnsi="Symbol"/>
      </w:rPr>
    </w:lvl>
    <w:lvl w:ilvl="4" w:tplc="9C5865FE">
      <w:start w:val="1"/>
      <w:numFmt w:val="bullet"/>
      <w:lvlText w:val="o"/>
      <w:lvlJc w:val="left"/>
      <w:pPr>
        <w:tabs>
          <w:tab w:val="num" w:pos="3600"/>
        </w:tabs>
        <w:ind w:left="3600" w:hanging="360"/>
      </w:pPr>
      <w:rPr>
        <w:rFonts w:ascii="Courier New" w:hAnsi="Courier New"/>
      </w:rPr>
    </w:lvl>
    <w:lvl w:ilvl="5" w:tplc="2578CD98">
      <w:start w:val="1"/>
      <w:numFmt w:val="bullet"/>
      <w:lvlText w:val=""/>
      <w:lvlJc w:val="left"/>
      <w:pPr>
        <w:tabs>
          <w:tab w:val="num" w:pos="4320"/>
        </w:tabs>
        <w:ind w:left="4320" w:hanging="360"/>
      </w:pPr>
      <w:rPr>
        <w:rFonts w:ascii="Wingdings" w:hAnsi="Wingdings"/>
      </w:rPr>
    </w:lvl>
    <w:lvl w:ilvl="6" w:tplc="C4FC6954">
      <w:start w:val="1"/>
      <w:numFmt w:val="bullet"/>
      <w:lvlText w:val=""/>
      <w:lvlJc w:val="left"/>
      <w:pPr>
        <w:tabs>
          <w:tab w:val="num" w:pos="5040"/>
        </w:tabs>
        <w:ind w:left="5040" w:hanging="360"/>
      </w:pPr>
      <w:rPr>
        <w:rFonts w:ascii="Symbol" w:hAnsi="Symbol"/>
      </w:rPr>
    </w:lvl>
    <w:lvl w:ilvl="7" w:tplc="291EC8E0">
      <w:start w:val="1"/>
      <w:numFmt w:val="bullet"/>
      <w:lvlText w:val="o"/>
      <w:lvlJc w:val="left"/>
      <w:pPr>
        <w:tabs>
          <w:tab w:val="num" w:pos="5760"/>
        </w:tabs>
        <w:ind w:left="5760" w:hanging="360"/>
      </w:pPr>
      <w:rPr>
        <w:rFonts w:ascii="Courier New" w:hAnsi="Courier New"/>
      </w:rPr>
    </w:lvl>
    <w:lvl w:ilvl="8" w:tplc="D6169CBC">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8F4CD0C8">
      <w:start w:val="1"/>
      <w:numFmt w:val="bullet"/>
      <w:lvlText w:val=""/>
      <w:lvlJc w:val="left"/>
      <w:pPr>
        <w:tabs>
          <w:tab w:val="num" w:pos="720"/>
        </w:tabs>
        <w:ind w:left="720" w:hanging="360"/>
      </w:pPr>
      <w:rPr>
        <w:rFonts w:ascii="Symbol" w:hAnsi="Symbol"/>
      </w:rPr>
    </w:lvl>
    <w:lvl w:ilvl="1" w:tplc="FEE2AC86">
      <w:start w:val="1"/>
      <w:numFmt w:val="bullet"/>
      <w:lvlText w:val="o"/>
      <w:lvlJc w:val="left"/>
      <w:pPr>
        <w:tabs>
          <w:tab w:val="num" w:pos="1440"/>
        </w:tabs>
        <w:ind w:left="1440" w:hanging="360"/>
      </w:pPr>
      <w:rPr>
        <w:rFonts w:ascii="Courier New" w:hAnsi="Courier New"/>
      </w:rPr>
    </w:lvl>
    <w:lvl w:ilvl="2" w:tplc="0D165F10">
      <w:start w:val="1"/>
      <w:numFmt w:val="bullet"/>
      <w:lvlText w:val=""/>
      <w:lvlJc w:val="left"/>
      <w:pPr>
        <w:tabs>
          <w:tab w:val="num" w:pos="2160"/>
        </w:tabs>
        <w:ind w:left="2160" w:hanging="360"/>
      </w:pPr>
      <w:rPr>
        <w:rFonts w:ascii="Wingdings" w:hAnsi="Wingdings"/>
      </w:rPr>
    </w:lvl>
    <w:lvl w:ilvl="3" w:tplc="84508516">
      <w:start w:val="1"/>
      <w:numFmt w:val="bullet"/>
      <w:lvlText w:val=""/>
      <w:lvlJc w:val="left"/>
      <w:pPr>
        <w:tabs>
          <w:tab w:val="num" w:pos="2880"/>
        </w:tabs>
        <w:ind w:left="2880" w:hanging="360"/>
      </w:pPr>
      <w:rPr>
        <w:rFonts w:ascii="Symbol" w:hAnsi="Symbol"/>
      </w:rPr>
    </w:lvl>
    <w:lvl w:ilvl="4" w:tplc="37588C90">
      <w:start w:val="1"/>
      <w:numFmt w:val="bullet"/>
      <w:lvlText w:val="o"/>
      <w:lvlJc w:val="left"/>
      <w:pPr>
        <w:tabs>
          <w:tab w:val="num" w:pos="3600"/>
        </w:tabs>
        <w:ind w:left="3600" w:hanging="360"/>
      </w:pPr>
      <w:rPr>
        <w:rFonts w:ascii="Courier New" w:hAnsi="Courier New"/>
      </w:rPr>
    </w:lvl>
    <w:lvl w:ilvl="5" w:tplc="EC6A3820">
      <w:start w:val="1"/>
      <w:numFmt w:val="bullet"/>
      <w:lvlText w:val=""/>
      <w:lvlJc w:val="left"/>
      <w:pPr>
        <w:tabs>
          <w:tab w:val="num" w:pos="4320"/>
        </w:tabs>
        <w:ind w:left="4320" w:hanging="360"/>
      </w:pPr>
      <w:rPr>
        <w:rFonts w:ascii="Wingdings" w:hAnsi="Wingdings"/>
      </w:rPr>
    </w:lvl>
    <w:lvl w:ilvl="6" w:tplc="7CB80C68">
      <w:start w:val="1"/>
      <w:numFmt w:val="bullet"/>
      <w:lvlText w:val=""/>
      <w:lvlJc w:val="left"/>
      <w:pPr>
        <w:tabs>
          <w:tab w:val="num" w:pos="5040"/>
        </w:tabs>
        <w:ind w:left="5040" w:hanging="360"/>
      </w:pPr>
      <w:rPr>
        <w:rFonts w:ascii="Symbol" w:hAnsi="Symbol"/>
      </w:rPr>
    </w:lvl>
    <w:lvl w:ilvl="7" w:tplc="32067998">
      <w:start w:val="1"/>
      <w:numFmt w:val="bullet"/>
      <w:lvlText w:val="o"/>
      <w:lvlJc w:val="left"/>
      <w:pPr>
        <w:tabs>
          <w:tab w:val="num" w:pos="5760"/>
        </w:tabs>
        <w:ind w:left="5760" w:hanging="360"/>
      </w:pPr>
      <w:rPr>
        <w:rFonts w:ascii="Courier New" w:hAnsi="Courier New"/>
      </w:rPr>
    </w:lvl>
    <w:lvl w:ilvl="8" w:tplc="5B28806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2BBE"/>
    <w:rsid w:val="00003979"/>
    <w:rsid w:val="00030C6B"/>
    <w:rsid w:val="00030EE2"/>
    <w:rsid w:val="00045124"/>
    <w:rsid w:val="0005304D"/>
    <w:rsid w:val="00055418"/>
    <w:rsid w:val="000B2937"/>
    <w:rsid w:val="000F262F"/>
    <w:rsid w:val="000F2709"/>
    <w:rsid w:val="001148BA"/>
    <w:rsid w:val="00117E4C"/>
    <w:rsid w:val="00143311"/>
    <w:rsid w:val="001442A0"/>
    <w:rsid w:val="00177600"/>
    <w:rsid w:val="0018277B"/>
    <w:rsid w:val="001A0455"/>
    <w:rsid w:val="001A2998"/>
    <w:rsid w:val="001A309A"/>
    <w:rsid w:val="001A6B80"/>
    <w:rsid w:val="001D344B"/>
    <w:rsid w:val="001F0483"/>
    <w:rsid w:val="001F78C1"/>
    <w:rsid w:val="0021213B"/>
    <w:rsid w:val="00241073"/>
    <w:rsid w:val="00257891"/>
    <w:rsid w:val="00267714"/>
    <w:rsid w:val="00296CF9"/>
    <w:rsid w:val="002B1824"/>
    <w:rsid w:val="002D0E16"/>
    <w:rsid w:val="00311094"/>
    <w:rsid w:val="003169E7"/>
    <w:rsid w:val="00324726"/>
    <w:rsid w:val="00357CA8"/>
    <w:rsid w:val="00372723"/>
    <w:rsid w:val="0037697B"/>
    <w:rsid w:val="0039615D"/>
    <w:rsid w:val="003A1E73"/>
    <w:rsid w:val="003A769C"/>
    <w:rsid w:val="003B08EB"/>
    <w:rsid w:val="003B3F30"/>
    <w:rsid w:val="003D2A3D"/>
    <w:rsid w:val="003E697D"/>
    <w:rsid w:val="004042EA"/>
    <w:rsid w:val="00414C21"/>
    <w:rsid w:val="00427625"/>
    <w:rsid w:val="00435AB6"/>
    <w:rsid w:val="004635DC"/>
    <w:rsid w:val="004725CE"/>
    <w:rsid w:val="00483FD9"/>
    <w:rsid w:val="00485008"/>
    <w:rsid w:val="004B621C"/>
    <w:rsid w:val="004C0732"/>
    <w:rsid w:val="004E23DC"/>
    <w:rsid w:val="004F1099"/>
    <w:rsid w:val="004F5676"/>
    <w:rsid w:val="005116A2"/>
    <w:rsid w:val="005330CD"/>
    <w:rsid w:val="0055522C"/>
    <w:rsid w:val="005626B9"/>
    <w:rsid w:val="00582859"/>
    <w:rsid w:val="00594C99"/>
    <w:rsid w:val="005B32A6"/>
    <w:rsid w:val="005B6A7B"/>
    <w:rsid w:val="005D1A95"/>
    <w:rsid w:val="006202A8"/>
    <w:rsid w:val="00646795"/>
    <w:rsid w:val="00672330"/>
    <w:rsid w:val="00672DEB"/>
    <w:rsid w:val="006A592A"/>
    <w:rsid w:val="006B31F9"/>
    <w:rsid w:val="006C5228"/>
    <w:rsid w:val="006F55CB"/>
    <w:rsid w:val="00713B0D"/>
    <w:rsid w:val="0071796C"/>
    <w:rsid w:val="00720130"/>
    <w:rsid w:val="00723484"/>
    <w:rsid w:val="00744914"/>
    <w:rsid w:val="007935C4"/>
    <w:rsid w:val="007A5420"/>
    <w:rsid w:val="007C0525"/>
    <w:rsid w:val="007D25DF"/>
    <w:rsid w:val="007E2849"/>
    <w:rsid w:val="007F08F4"/>
    <w:rsid w:val="007F35CF"/>
    <w:rsid w:val="00844523"/>
    <w:rsid w:val="00846E0C"/>
    <w:rsid w:val="00886449"/>
    <w:rsid w:val="0089221E"/>
    <w:rsid w:val="00893644"/>
    <w:rsid w:val="008A2D8E"/>
    <w:rsid w:val="008B14D1"/>
    <w:rsid w:val="008C01D0"/>
    <w:rsid w:val="008C368E"/>
    <w:rsid w:val="008E38E4"/>
    <w:rsid w:val="00914606"/>
    <w:rsid w:val="009470C3"/>
    <w:rsid w:val="0095170F"/>
    <w:rsid w:val="00964598"/>
    <w:rsid w:val="0097103F"/>
    <w:rsid w:val="00977C86"/>
    <w:rsid w:val="00982D06"/>
    <w:rsid w:val="009B4FA5"/>
    <w:rsid w:val="009C2AE4"/>
    <w:rsid w:val="009F2F5C"/>
    <w:rsid w:val="00A4322C"/>
    <w:rsid w:val="00A474F0"/>
    <w:rsid w:val="00A51F68"/>
    <w:rsid w:val="00A60622"/>
    <w:rsid w:val="00A70ABA"/>
    <w:rsid w:val="00A77B3E"/>
    <w:rsid w:val="00A80F1B"/>
    <w:rsid w:val="00A842F3"/>
    <w:rsid w:val="00AB4429"/>
    <w:rsid w:val="00AE1AA3"/>
    <w:rsid w:val="00AF5B06"/>
    <w:rsid w:val="00AF5BD9"/>
    <w:rsid w:val="00B00088"/>
    <w:rsid w:val="00B03AB2"/>
    <w:rsid w:val="00B36290"/>
    <w:rsid w:val="00B467DC"/>
    <w:rsid w:val="00B51BB9"/>
    <w:rsid w:val="00B83136"/>
    <w:rsid w:val="00BB7D01"/>
    <w:rsid w:val="00BD0024"/>
    <w:rsid w:val="00BD5341"/>
    <w:rsid w:val="00C05464"/>
    <w:rsid w:val="00C36398"/>
    <w:rsid w:val="00C40417"/>
    <w:rsid w:val="00C40DAA"/>
    <w:rsid w:val="00C41901"/>
    <w:rsid w:val="00C60208"/>
    <w:rsid w:val="00C62E24"/>
    <w:rsid w:val="00C84049"/>
    <w:rsid w:val="00C9164D"/>
    <w:rsid w:val="00C92D8E"/>
    <w:rsid w:val="00CB4A4E"/>
    <w:rsid w:val="00CC3B9F"/>
    <w:rsid w:val="00CC406A"/>
    <w:rsid w:val="00CE44E6"/>
    <w:rsid w:val="00CE74DB"/>
    <w:rsid w:val="00CF1A58"/>
    <w:rsid w:val="00D02593"/>
    <w:rsid w:val="00D17ADB"/>
    <w:rsid w:val="00D401A5"/>
    <w:rsid w:val="00D465E5"/>
    <w:rsid w:val="00D46D25"/>
    <w:rsid w:val="00D50020"/>
    <w:rsid w:val="00D53097"/>
    <w:rsid w:val="00D62AE5"/>
    <w:rsid w:val="00D845E0"/>
    <w:rsid w:val="00D84FBE"/>
    <w:rsid w:val="00D94E72"/>
    <w:rsid w:val="00D96E42"/>
    <w:rsid w:val="00DB064B"/>
    <w:rsid w:val="00E0454B"/>
    <w:rsid w:val="00E068E5"/>
    <w:rsid w:val="00E36DEE"/>
    <w:rsid w:val="00EA3CE7"/>
    <w:rsid w:val="00EB31D4"/>
    <w:rsid w:val="00ED50F3"/>
    <w:rsid w:val="00EE5CCB"/>
    <w:rsid w:val="00EE749F"/>
    <w:rsid w:val="00F06C60"/>
    <w:rsid w:val="00F149B7"/>
    <w:rsid w:val="00F25697"/>
    <w:rsid w:val="00F527B9"/>
    <w:rsid w:val="00F863B4"/>
    <w:rsid w:val="00FA0F98"/>
    <w:rsid w:val="00FB4BE8"/>
    <w:rsid w:val="00FB663F"/>
    <w:rsid w:val="00FD0DCF"/>
    <w:rsid w:val="0B25916A"/>
    <w:rsid w:val="0EB1BB48"/>
    <w:rsid w:val="1ABB9182"/>
    <w:rsid w:val="1DD33E97"/>
    <w:rsid w:val="2361F4FC"/>
    <w:rsid w:val="23BEE5AE"/>
    <w:rsid w:val="26FD09E9"/>
    <w:rsid w:val="28251533"/>
    <w:rsid w:val="2FC1D0B0"/>
    <w:rsid w:val="306142E4"/>
    <w:rsid w:val="34AB1031"/>
    <w:rsid w:val="36108200"/>
    <w:rsid w:val="36B4C2FE"/>
    <w:rsid w:val="45BACCCE"/>
    <w:rsid w:val="48BC2141"/>
    <w:rsid w:val="4BB03FD8"/>
    <w:rsid w:val="4CC26AB4"/>
    <w:rsid w:val="53782228"/>
    <w:rsid w:val="54952A5F"/>
    <w:rsid w:val="5A1839BD"/>
    <w:rsid w:val="63FC4CEE"/>
    <w:rsid w:val="64422E51"/>
    <w:rsid w:val="644E2F8D"/>
    <w:rsid w:val="6647D4A6"/>
    <w:rsid w:val="6865A5EB"/>
    <w:rsid w:val="6F2E7268"/>
    <w:rsid w:val="7EA10BFB"/>
  </w:rsids>
  <m:mathPr>
    <m:mathFont m:val="Cambria Math"/>
    <m:brkBin m:val="before"/>
    <m:brkBinSub m:val="--"/>
    <m:smallFrac m:val="0"/>
    <m:dispDef/>
    <m:lMargin m:val="0"/>
    <m:rMargin m:val="0"/>
    <m:defJc m:val="centerGroup"/>
    <m:wrapRight/>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29C49B"/>
  <w15:chartTrackingRefBased/>
  <w15:docId w15:val="{2F32623E-518A-4F0C-8A99-C4F0ED11A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Source Sans Pro" w:hAnsi="Source Sans Pro"/>
      <w:sz w:val="20"/>
      <w:szCs w:val="24"/>
    </w:rPr>
  </w:style>
  <w:style w:type="paragraph" w:styleId="Heading1">
    <w:name w:val="heading 1"/>
    <w:pPr>
      <w:spacing w:after="240"/>
      <w:outlineLvl w:val="0"/>
    </w:pPr>
    <w:rPr>
      <w:rFonts w:ascii="Arial" w:eastAsia="Arial" w:hAnsi="Arial" w:cs="Arial" w:asciiTheme="Source Sans Pro"/>
      <w:b/>
      <w:color w:val="000F46"/>
      <w:sz w:val="32"/>
    </w:rPr>
  </w:style>
  <w:style w:type="paragraph" w:styleId="Heading2">
    <w:name w:val="heading 2"/>
    <w:pPr>
      <w:spacing w:after="160"/>
      <w:outlineLvl w:val="1"/>
    </w:pPr>
    <w:rPr>
      <w:rFonts w:ascii="Arial" w:eastAsia="Arial" w:hAnsi="Arial" w:cs="Arial" w:asciiTheme="Source Sans Pro"/>
      <w:b/>
      <w:color w:val="000F46"/>
      <w:sz w:val="28"/>
    </w:rPr>
  </w:style>
  <w:style w:type="paragraph" w:styleId="Heading3">
    <w:name w:val="heading 3"/>
    <w:pPr>
      <w:spacing w:after="160"/>
      <w:outlineLvl w:val="2"/>
    </w:pPr>
    <w:rPr>
      <w:rFonts w:ascii="Arial" w:eastAsia="Arial" w:hAnsi="Arial" w:cs="Arial" w:asciiTheme="Source Sans Pro"/>
      <w:b/>
      <w:color w:val="000F46"/>
      <w:sz w:val="24"/>
    </w:rPr>
  </w:style>
  <w:style w:type="paragraph" w:styleId="Heading4">
    <w:name w:val="heading 4"/>
    <w:pPr>
      <w:spacing w:after="60"/>
      <w:outlineLvl w:val="3"/>
    </w:pPr>
    <w:rPr>
      <w:rFonts w:ascii="Arial" w:eastAsia="Arial" w:hAnsi="Arial" w:cs="Arial" w:asciiTheme="Source Sans Pro"/>
      <w:b/>
      <w:color w:val="000F4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4F5676"/>
    <w:rPr>
      <w:sz w:val="24"/>
      <w:szCs w:val="24"/>
    </w:rPr>
  </w:style>
  <w:style w:type="character" w:styleId="CommentReference">
    <w:name w:val="annotation reference"/>
    <w:basedOn w:val="DefaultParagraphFont"/>
    <w:rsid w:val="0089221E"/>
    <w:rPr>
      <w:sz w:val="16"/>
      <w:szCs w:val="16"/>
    </w:rPr>
  </w:style>
  <w:style w:type="paragraph" w:styleId="CommentText">
    <w:name w:val="annotation text"/>
    <w:basedOn w:val="Normal"/>
    <w:link w:val="CommentTextChar"/>
    <w:rsid w:val="0089221E"/>
    <w:rPr>
      <w:sz w:val="20"/>
      <w:szCs w:val="20"/>
    </w:rPr>
  </w:style>
  <w:style w:type="character" w:customStyle="1" w:styleId="CommentTextChar">
    <w:name w:val="Comment Text Char"/>
    <w:basedOn w:val="DefaultParagraphFont"/>
    <w:link w:val="CommentText"/>
    <w:rsid w:val="0089221E"/>
  </w:style>
  <w:style w:type="paragraph" w:styleId="CommentSubject">
    <w:name w:val="annotation subject"/>
    <w:basedOn w:val="CommentText"/>
    <w:next w:val="CommentText"/>
    <w:link w:val="CommentSubjectChar"/>
    <w:rsid w:val="0089221E"/>
    <w:rPr>
      <w:b/>
      <w:bCs/>
    </w:rPr>
  </w:style>
  <w:style w:type="character" w:customStyle="1" w:styleId="CommentSubjectChar">
    <w:name w:val="Comment Subject Char"/>
    <w:basedOn w:val="CommentTextChar"/>
    <w:link w:val="CommentSubject"/>
    <w:rsid w:val="0089221E"/>
    <w:rPr>
      <w:b/>
      <w:bCs/>
    </w:rPr>
  </w:style>
  <w:style w:type="paragraph" w:styleId="Header">
    <w:name w:val="header"/>
    <w:basedOn w:val="Normal"/>
    <w:link w:val="HeaderChar"/>
    <w:rsid w:val="00DB064B"/>
    <w:pPr>
      <w:tabs>
        <w:tab w:val="center" w:pos="4513"/>
        <w:tab w:val="right" w:pos="9026"/>
      </w:tabs>
    </w:pPr>
  </w:style>
  <w:style w:type="character" w:customStyle="1" w:styleId="HeaderChar">
    <w:name w:val="Header Char"/>
    <w:basedOn w:val="DefaultParagraphFont"/>
    <w:link w:val="Header"/>
    <w:rsid w:val="00DB064B"/>
    <w:rPr>
      <w:sz w:val="24"/>
      <w:szCs w:val="24"/>
    </w:rPr>
  </w:style>
  <w:style w:type="paragraph" w:styleId="Footer">
    <w:name w:val="footer"/>
    <w:basedOn w:val="Normal"/>
    <w:link w:val="FooterChar"/>
    <w:rsid w:val="00DB064B"/>
    <w:pPr>
      <w:tabs>
        <w:tab w:val="center" w:pos="4513"/>
        <w:tab w:val="right" w:pos="9026"/>
      </w:tabs>
    </w:pPr>
  </w:style>
  <w:style w:type="character" w:customStyle="1" w:styleId="FooterChar">
    <w:name w:val="Footer Char"/>
    <w:basedOn w:val="DefaultParagraphFont"/>
    <w:link w:val="Footer"/>
    <w:rsid w:val="00DB064B"/>
    <w:rPr>
      <w:sz w:val="24"/>
      <w:szCs w:val="24"/>
    </w:rPr>
  </w:style>
  <w:style w:type="character" w:styleId="Hyperlink">
    <w:name w:val="Hyperlink"/>
    <w:rsid w:val="00003979"/>
    <w:rPr>
      <w:color w:val="0563C1"/>
      <w:u w:val="single"/>
    </w:rPr>
  </w:style>
  <w:style w:type="character" w:styleId="FollowedHyperlink">
    <w:name w:val="FollowedHyperlink"/>
    <w:basedOn w:val="DefaultParagraphFont"/>
    <w:rsid w:val="00003979"/>
    <w:rPr>
      <w:color w:val="954F72" w:themeColor="followedHyperlink"/>
      <w:u w:val="single"/>
    </w:rPr>
  </w:style>
  <w:style w:type="character" w:customStyle="1" w:styleId="cf01">
    <w:name w:val="cf01"/>
    <w:basedOn w:val="DefaultParagraphFont"/>
    <w:rsid w:val="00582859"/>
    <w:rPr>
      <w:rFonts w:ascii="Segoe UI" w:hAnsi="Segoe UI" w:cs="Segoe UI" w:hint="default"/>
      <w:sz w:val="18"/>
      <w:szCs w:val="18"/>
    </w:rPr>
  </w:style>
  <w:style w:type="character" w:styleId="UnresolvedMention">
    <w:name w:val="Unresolved Mention"/>
    <w:basedOn w:val="DefaultParagraphFont"/>
    <w:uiPriority w:val="99"/>
    <w:semiHidden/>
    <w:unhideWhenUsed/>
    <w:rsid w:val="00483FD9"/>
    <w:rPr>
      <w:color w:val="605E5C"/>
      <w:shd w:val="clear" w:color="auto" w:fill="E1DFDD"/>
    </w:rPr>
  </w:style>
  <w:style w:type="paragraph" w:styleId="BalloonText">
    <w:name w:val="Balloon Text"/>
    <w:basedOn w:val="Normal"/>
    <w:link w:val="BalloonTextChar"/>
    <w:rsid w:val="00CC3B9F"/>
    <w:rPr>
      <w:rFonts w:ascii="Segoe UI" w:hAnsi="Segoe UI" w:cs="Segoe UI"/>
      <w:sz w:val="18"/>
      <w:szCs w:val="18"/>
    </w:rPr>
  </w:style>
  <w:style w:type="character" w:customStyle="1" w:styleId="BalloonTextChar">
    <w:name w:val="Balloon Text Char"/>
    <w:basedOn w:val="DefaultParagraphFont"/>
    <w:link w:val="BalloonText"/>
    <w:rsid w:val="00CC3B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file:///C:\Users\pandr\Downloads\MPF1321" TargetMode="External"/><Relationship Id="rId18" Type="http://schemas.openxmlformats.org/officeDocument/2006/relationships/hyperlink" Target="https://policy.unimelb.edu.au/MPF1104" TargetMode="External"/><Relationship Id="rId26" Type="http://schemas.openxmlformats.org/officeDocument/2006/relationships/hyperlink" Target="https://about.unimelb.edu.au/__data/assets/pdf_file/0024/374640/Vice-Chancellor-Regulation-v7.pdf" TargetMode="External"/><Relationship Id="rId3" Type="http://schemas.openxmlformats.org/officeDocument/2006/relationships/customXml" Target="../customXml/item3.xml"/><Relationship Id="rId21" Type="http://schemas.openxmlformats.org/officeDocument/2006/relationships/hyperlink" Target="https://about.unimelb.edu.au/__data/assets/pdf_file/0032/374639/Academic-Board-Regulation-v11.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C:\Users\pandr\Downloads\MPF1291" TargetMode="External"/><Relationship Id="rId17" Type="http://schemas.openxmlformats.org/officeDocument/2006/relationships/hyperlink" Target="https://about.unimelb.edu.au/__data/assets/pdf_file/0024/374640/Vice-Chancellor-Regulation-v7.pdf" TargetMode="External"/><Relationship Id="rId25" Type="http://schemas.openxmlformats.org/officeDocument/2006/relationships/hyperlink" Target="https://about.unimelb.edu.au/__data/assets/pdf_file/0024/374640/Vice-Chancellor-Regulation-v7.pdf"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unimelb.edu.au/governance/regulatory-framework" TargetMode="External"/><Relationship Id="rId20" Type="http://schemas.openxmlformats.org/officeDocument/2006/relationships/hyperlink" Target="https://about.unimelb.edu.au/__data/assets/pdf_file/0024/374640/Vice-Chancellor-Regulation-v7.pdf"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bout.unimelb.edu.au/__data/assets/pdf_file/0024/374640/Vice-Chancellor-Regulation-v7.pdf" TargetMode="External"/><Relationship Id="rId24" Type="http://schemas.openxmlformats.org/officeDocument/2006/relationships/hyperlink" Target="https://about.unimelb.edu.au/__data/assets/pdf_file/0024/374640/Vice-Chancellor-Regulation-v7.pdf"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about.unimelb.edu.au/__data/assets/pdf_file/0032/374639/Academic-Board-Regulation-v11.pdf" TargetMode="External"/><Relationship Id="rId23" Type="http://schemas.openxmlformats.org/officeDocument/2006/relationships/hyperlink" Target="https://about.unimelb.edu.au/__data/assets/pdf_file/0024/374640/Vice-Chancellor-Regulation-v7.pdf" TargetMode="External"/><Relationship Id="rId28" Type="http://schemas.openxmlformats.org/officeDocument/2006/relationships/header" Target="header1.xml"/><Relationship Id="rId36"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https://about.unimelb.edu.au/__data/assets/pdf_file/0024/374640/Vice-Chancellor-Regulation-v7.pdf"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pandr\Downloads\MPF1345" TargetMode="External"/><Relationship Id="rId22" Type="http://schemas.openxmlformats.org/officeDocument/2006/relationships/hyperlink" Target="https://about.unimelb.edu.au/__data/assets/pdf_file/0024/374640/Vice-Chancellor-Regulation-v7.pdf" TargetMode="External"/><Relationship Id="rId27" Type="http://schemas.openxmlformats.org/officeDocument/2006/relationships/hyperlink" Target="https://about.unimelb.edu.au/__data/assets/pdf_file/0024/374640/Vice-Chancellor-Regulation-v7.pdf"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 Id="rId37" Type="http://schemas.openxmlformats.org/officeDocument/2006/relationships/hyperlink" Target="https://policy.unimelb.edu.au/category/Student Management and Support/" TargetMode="External"/><Relationship Id="rId38" Type="http://schemas.openxmlformats.org/officeDocument/2006/relationships/hyperlink" Target="https://au.promapp.com/unimelb/Process/Group/ b706391a-45fc-485c-9a92-f353c6d8c94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1830ed8-4f4c-441c-be4a-6f4722cea46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5751311BACB346A468825B8EA162C6" ma:contentTypeVersion="15" ma:contentTypeDescription="Create a new document." ma:contentTypeScope="" ma:versionID="e68ddf33715d2cd88e56b907dae3d00f">
  <xsd:schema xmlns:xsd="http://www.w3.org/2001/XMLSchema" xmlns:xs="http://www.w3.org/2001/XMLSchema" xmlns:p="http://schemas.microsoft.com/office/2006/metadata/properties" xmlns:ns3="41830ed8-4f4c-441c-be4a-6f4722cea469" xmlns:ns4="0395eb0e-eff3-473a-8453-2be5ddfa44e2" targetNamespace="http://schemas.microsoft.com/office/2006/metadata/properties" ma:root="true" ma:fieldsID="8be2b758283a98c877357dddf06b0576" ns3:_="" ns4:_="">
    <xsd:import namespace="41830ed8-4f4c-441c-be4a-6f4722cea469"/>
    <xsd:import namespace="0395eb0e-eff3-473a-8453-2be5ddfa44e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30ed8-4f4c-441c-be4a-6f4722cea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95eb0e-eff3-473a-8453-2be5ddfa44e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0F30DDD1-CE49-4A46-AFBA-48C081CE48DB}">
  <ds:schemaRefs>
    <ds:schemaRef ds:uri="http://schemas.openxmlformats.org/package/2006/metadata/core-properties"/>
    <ds:schemaRef ds:uri="http://purl.org/dc/elements/1.1/"/>
    <ds:schemaRef ds:uri="http://purl.org/dc/terms/"/>
    <ds:schemaRef ds:uri="http://schemas.microsoft.com/office/2006/documentManagement/types"/>
    <ds:schemaRef ds:uri="41830ed8-4f4c-441c-be4a-6f4722cea469"/>
    <ds:schemaRef ds:uri="http://schemas.microsoft.com/office/2006/metadata/properties"/>
    <ds:schemaRef ds:uri="http://purl.org/dc/dcmitype/"/>
    <ds:schemaRef ds:uri="http://schemas.microsoft.com/office/infopath/2007/PartnerControls"/>
    <ds:schemaRef ds:uri="0395eb0e-eff3-473a-8453-2be5ddfa44e2"/>
    <ds:schemaRef ds:uri="http://www.w3.org/XML/1998/namespace"/>
  </ds:schemaRefs>
</ds:datastoreItem>
</file>

<file path=customXml/itemProps2.xml><?xml version="1.0" encoding="utf-8"?>
<ds:datastoreItem xmlns:ds="http://schemas.openxmlformats.org/officeDocument/2006/customXml" ds:itemID="{86B703D4-42FF-4135-93DC-5C06732E4579}">
  <ds:schemaRefs>
    <ds:schemaRef ds:uri="http://schemas.microsoft.com/sharepoint/v3/contenttype/forms"/>
  </ds:schemaRefs>
</ds:datastoreItem>
</file>

<file path=customXml/itemProps3.xml><?xml version="1.0" encoding="utf-8"?>
<ds:datastoreItem xmlns:ds="http://schemas.openxmlformats.org/officeDocument/2006/customXml" ds:itemID="{8A29414F-67D0-480C-A0F1-16B5C8A67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830ed8-4f4c-441c-be4a-6f4722cea469"/>
    <ds:schemaRef ds:uri="0395eb0e-eff3-473a-8453-2be5ddfa44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533A15-BFDD-47A5-B1F0-923A1A2E3BF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2927</Words>
  <Characters>17220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20107</CharactersWithSpaces>
  <SharedDoc>false</SharedDoc>
  <HLinks>
    <vt:vector size="102" baseType="variant">
      <vt:variant>
        <vt:i4>3211286</vt:i4>
      </vt:variant>
      <vt:variant>
        <vt:i4>51</vt:i4>
      </vt:variant>
      <vt:variant>
        <vt:i4>0</vt:i4>
      </vt:variant>
      <vt:variant>
        <vt:i4>5</vt:i4>
      </vt:variant>
      <vt:variant>
        <vt:lpwstr>https://about.unimelb.edu.au/__data/assets/pdf_file/0032/19778/Vice-Chancellor-Regulation.pdf</vt:lpwstr>
      </vt:variant>
      <vt:variant>
        <vt:lpwstr/>
      </vt:variant>
      <vt:variant>
        <vt:i4>3211286</vt:i4>
      </vt:variant>
      <vt:variant>
        <vt:i4>48</vt:i4>
      </vt:variant>
      <vt:variant>
        <vt:i4>0</vt:i4>
      </vt:variant>
      <vt:variant>
        <vt:i4>5</vt:i4>
      </vt:variant>
      <vt:variant>
        <vt:lpwstr>https://about.unimelb.edu.au/__data/assets/pdf_file/0032/19778/Vice-Chancellor-Regulation.pdf</vt:lpwstr>
      </vt:variant>
      <vt:variant>
        <vt:lpwstr/>
      </vt:variant>
      <vt:variant>
        <vt:i4>3211286</vt:i4>
      </vt:variant>
      <vt:variant>
        <vt:i4>45</vt:i4>
      </vt:variant>
      <vt:variant>
        <vt:i4>0</vt:i4>
      </vt:variant>
      <vt:variant>
        <vt:i4>5</vt:i4>
      </vt:variant>
      <vt:variant>
        <vt:lpwstr>https://about.unimelb.edu.au/__data/assets/pdf_file/0032/19778/Vice-Chancellor-Regulation.pdf</vt:lpwstr>
      </vt:variant>
      <vt:variant>
        <vt:lpwstr/>
      </vt:variant>
      <vt:variant>
        <vt:i4>3211286</vt:i4>
      </vt:variant>
      <vt:variant>
        <vt:i4>42</vt:i4>
      </vt:variant>
      <vt:variant>
        <vt:i4>0</vt:i4>
      </vt:variant>
      <vt:variant>
        <vt:i4>5</vt:i4>
      </vt:variant>
      <vt:variant>
        <vt:lpwstr>https://about.unimelb.edu.au/__data/assets/pdf_file/0032/19778/Vice-Chancellor-Regulation.pdf</vt:lpwstr>
      </vt:variant>
      <vt:variant>
        <vt:lpwstr/>
      </vt:variant>
      <vt:variant>
        <vt:i4>3211286</vt:i4>
      </vt:variant>
      <vt:variant>
        <vt:i4>39</vt:i4>
      </vt:variant>
      <vt:variant>
        <vt:i4>0</vt:i4>
      </vt:variant>
      <vt:variant>
        <vt:i4>5</vt:i4>
      </vt:variant>
      <vt:variant>
        <vt:lpwstr>https://about.unimelb.edu.au/__data/assets/pdf_file/0032/19778/Vice-Chancellor-Regulation.pdf</vt:lpwstr>
      </vt:variant>
      <vt:variant>
        <vt:lpwstr/>
      </vt:variant>
      <vt:variant>
        <vt:i4>3211286</vt:i4>
      </vt:variant>
      <vt:variant>
        <vt:i4>36</vt:i4>
      </vt:variant>
      <vt:variant>
        <vt:i4>0</vt:i4>
      </vt:variant>
      <vt:variant>
        <vt:i4>5</vt:i4>
      </vt:variant>
      <vt:variant>
        <vt:lpwstr>https://about.unimelb.edu.au/__data/assets/pdf_file/0032/19778/Vice-Chancellor-Regulation.pdf</vt:lpwstr>
      </vt:variant>
      <vt:variant>
        <vt:lpwstr/>
      </vt:variant>
      <vt:variant>
        <vt:i4>3670016</vt:i4>
      </vt:variant>
      <vt:variant>
        <vt:i4>33</vt:i4>
      </vt:variant>
      <vt:variant>
        <vt:i4>0</vt:i4>
      </vt:variant>
      <vt:variant>
        <vt:i4>5</vt:i4>
      </vt:variant>
      <vt:variant>
        <vt:lpwstr>https://about.unimelb.edu.au/__data/assets/pdf_file/0029/19775/Academic-Board-Regulation-v05-17-June-2020.pdf</vt:lpwstr>
      </vt:variant>
      <vt:variant>
        <vt:lpwstr/>
      </vt:variant>
      <vt:variant>
        <vt:i4>3211286</vt:i4>
      </vt:variant>
      <vt:variant>
        <vt:i4>30</vt:i4>
      </vt:variant>
      <vt:variant>
        <vt:i4>0</vt:i4>
      </vt:variant>
      <vt:variant>
        <vt:i4>5</vt:i4>
      </vt:variant>
      <vt:variant>
        <vt:lpwstr>https://about.unimelb.edu.au/__data/assets/pdf_file/0032/19778/Vice-Chancellor-Regulation.pdf</vt:lpwstr>
      </vt:variant>
      <vt:variant>
        <vt:lpwstr/>
      </vt:variant>
      <vt:variant>
        <vt:i4>3211286</vt:i4>
      </vt:variant>
      <vt:variant>
        <vt:i4>27</vt:i4>
      </vt:variant>
      <vt:variant>
        <vt:i4>0</vt:i4>
      </vt:variant>
      <vt:variant>
        <vt:i4>5</vt:i4>
      </vt:variant>
      <vt:variant>
        <vt:lpwstr>https://about.unimelb.edu.au/__data/assets/pdf_file/0032/19778/Vice-Chancellor-Regulation.pdf</vt:lpwstr>
      </vt:variant>
      <vt:variant>
        <vt:lpwstr/>
      </vt:variant>
      <vt:variant>
        <vt:i4>5898325</vt:i4>
      </vt:variant>
      <vt:variant>
        <vt:i4>24</vt:i4>
      </vt:variant>
      <vt:variant>
        <vt:i4>0</vt:i4>
      </vt:variant>
      <vt:variant>
        <vt:i4>5</vt:i4>
      </vt:variant>
      <vt:variant>
        <vt:lpwstr>https://policy.unimelb.edu.au/MPF1104</vt:lpwstr>
      </vt:variant>
      <vt:variant>
        <vt:lpwstr/>
      </vt:variant>
      <vt:variant>
        <vt:i4>3211286</vt:i4>
      </vt:variant>
      <vt:variant>
        <vt:i4>21</vt:i4>
      </vt:variant>
      <vt:variant>
        <vt:i4>0</vt:i4>
      </vt:variant>
      <vt:variant>
        <vt:i4>5</vt:i4>
      </vt:variant>
      <vt:variant>
        <vt:lpwstr>https://about.unimelb.edu.au/__data/assets/pdf_file/0032/19778/Vice-Chancellor-Regulation.pdf</vt:lpwstr>
      </vt:variant>
      <vt:variant>
        <vt:lpwstr/>
      </vt:variant>
      <vt:variant>
        <vt:i4>3276922</vt:i4>
      </vt:variant>
      <vt:variant>
        <vt:i4>18</vt:i4>
      </vt:variant>
      <vt:variant>
        <vt:i4>0</vt:i4>
      </vt:variant>
      <vt:variant>
        <vt:i4>5</vt:i4>
      </vt:variant>
      <vt:variant>
        <vt:lpwstr>http://www.unimelb.edu.au/governance/regulatory-framework</vt:lpwstr>
      </vt:variant>
      <vt:variant>
        <vt:lpwstr>legislation</vt:lpwstr>
      </vt:variant>
      <vt:variant>
        <vt:i4>3670016</vt:i4>
      </vt:variant>
      <vt:variant>
        <vt:i4>15</vt:i4>
      </vt:variant>
      <vt:variant>
        <vt:i4>0</vt:i4>
      </vt:variant>
      <vt:variant>
        <vt:i4>5</vt:i4>
      </vt:variant>
      <vt:variant>
        <vt:lpwstr>https://about.unimelb.edu.au/__data/assets/pdf_file/0029/19775/Academic-Board-Regulation-v05-17-June-2020.pdf</vt:lpwstr>
      </vt:variant>
      <vt:variant>
        <vt:lpwstr/>
      </vt:variant>
      <vt:variant>
        <vt:i4>5570584</vt:i4>
      </vt:variant>
      <vt:variant>
        <vt:i4>12</vt:i4>
      </vt:variant>
      <vt:variant>
        <vt:i4>0</vt:i4>
      </vt:variant>
      <vt:variant>
        <vt:i4>5</vt:i4>
      </vt:variant>
      <vt:variant>
        <vt:lpwstr>C:\Users\pandr\Downloads\MPF1345</vt:lpwstr>
      </vt:variant>
      <vt:variant>
        <vt:lpwstr/>
      </vt:variant>
      <vt:variant>
        <vt:i4>5308446</vt:i4>
      </vt:variant>
      <vt:variant>
        <vt:i4>9</vt:i4>
      </vt:variant>
      <vt:variant>
        <vt:i4>0</vt:i4>
      </vt:variant>
      <vt:variant>
        <vt:i4>5</vt:i4>
      </vt:variant>
      <vt:variant>
        <vt:lpwstr>C:\Users\pandr\Downloads\MPF1321</vt:lpwstr>
      </vt:variant>
      <vt:variant>
        <vt:lpwstr/>
      </vt:variant>
      <vt:variant>
        <vt:i4>5242901</vt:i4>
      </vt:variant>
      <vt:variant>
        <vt:i4>6</vt:i4>
      </vt:variant>
      <vt:variant>
        <vt:i4>0</vt:i4>
      </vt:variant>
      <vt:variant>
        <vt:i4>5</vt:i4>
      </vt:variant>
      <vt:variant>
        <vt:lpwstr>C:\Users\pandr\Downloads\MPF1291</vt:lpwstr>
      </vt:variant>
      <vt:variant>
        <vt:lpwstr/>
      </vt:variant>
      <vt:variant>
        <vt:i4>3211286</vt:i4>
      </vt:variant>
      <vt:variant>
        <vt:i4>3</vt:i4>
      </vt:variant>
      <vt:variant>
        <vt:i4>0</vt:i4>
      </vt:variant>
      <vt:variant>
        <vt:i4>5</vt:i4>
      </vt:variant>
      <vt:variant>
        <vt:lpwstr>https://about.unimelb.edu.au/__data/assets/pdf_file/0032/19778/Vice-Chancellor-Regulation.pdf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Andrews</dc:creator>
  <cp:keywords/>
  <cp:lastModifiedBy>Eugene Toh</cp:lastModifiedBy>
  <cp:revision>6</cp:revision>
  <cp:lastPrinted>1900-01-01T08:00:00Z</cp:lastPrinted>
  <dcterms:created xsi:type="dcterms:W3CDTF">2023-01-08T23:03:00Z</dcterms:created>
  <dcterms:modified xsi:type="dcterms:W3CDTF">2023-01-08T23:17:00Z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0x0101008F5751311BACB346A468825B8EA162C6</vt:lpwstr>
  </property>
</Properties>
</file>