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rPr>
          <w:b/>
        </w:rPr>
        <w:t>Student Fitness to Study Policy (MPF1349)</w:t>
      </w:r>
    </w:p>
    <w:p>
      <w:r/>
    </w:p>
    <w:p>
      <w:r>
        <w:rPr>
          <w:rFonts w:ascii="Source Sans Pro" w:hAnsi="Source Sans Pro"/>
          <w:b/>
          <w:sz w:val="20"/>
        </w:rPr>
        <w:t xml:space="preserve">Category: </w:t>
      </w:r>
      <w:r/>
      <w:hyperlink r:id="rId37">
        <w:r>
          <w:rPr>
            <w:color w:val="0000FF"/>
            <w:u w:val="single"/>
          </w:rPr>
          <w:t xml:space="preserve"> Student Management and Support </w:t>
        </w:r>
      </w:hyperlink>
      <w:r/>
      <w:r>
        <w:br/>
      </w:r>
      <w:r>
        <w:rPr>
          <w:rFonts w:ascii="Source Sans Pro" w:hAnsi="Source Sans Pro"/>
          <w:b/>
          <w:sz w:val="20"/>
        </w:rPr>
        <w:t xml:space="preserve">Version: </w:t>
      </w:r>
      <w:r>
        <w:rPr>
          <w:rFonts w:ascii="Source Sans Pro" w:hAnsi="Source Sans Pro"/>
          <w:sz w:val="20"/>
        </w:rPr>
        <w:t>7</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08 January, 2023</w:t>
        <w:br/>
      </w:r>
      <w:r>
        <w:rPr>
          <w:rFonts w:ascii="Source Sans Pro" w:hAnsi="Source Sans Pro"/>
          <w:b/>
          <w:sz w:val="20"/>
        </w:rPr>
        <w:t xml:space="preserve">Audience: </w:t>
      </w:r>
      <w:r>
        <w:rPr>
          <w:rFonts w:ascii="Source Sans Pro" w:hAnsi="Source Sans Pro"/>
          <w:sz w:val="20"/>
        </w:rPr>
        <w:t>Staff, Students, Academic</w:t>
        <w:br/>
      </w:r>
      <w:r>
        <w:rPr>
          <w:rFonts w:ascii="Source Sans Pro" w:hAnsi="Source Sans Pro"/>
          <w:b/>
          <w:sz w:val="20"/>
        </w:rPr>
        <w:t xml:space="preserve">Effective Date: </w:t>
      </w:r>
      <w:r>
        <w:rPr>
          <w:rFonts w:ascii="Source Sans Pro" w:hAnsi="Source Sans Pro"/>
          <w:sz w:val="20"/>
        </w:rPr>
        <w:t>09 January, 2023</w:t>
        <w:br/>
      </w:r>
      <w:r>
        <w:rPr>
          <w:rFonts w:ascii="Source Sans Pro" w:hAnsi="Source Sans Pro"/>
          <w:b/>
          <w:sz w:val="20"/>
        </w:rPr>
        <w:t xml:space="preserve">Review due by: </w:t>
      </w:r>
      <w:r>
        <w:rPr>
          <w:rFonts w:ascii="Source Sans Pro" w:hAnsi="Source Sans Pro"/>
          <w:sz w:val="20"/>
        </w:rPr>
        <w:t>31 December, 2023</w:t>
        <w:br/>
      </w:r>
      <w:r>
        <w:rPr>
          <w:rFonts w:ascii="Source Sans Pro" w:hAnsi="Source Sans Pro"/>
          <w:b/>
          <w:sz w:val="20"/>
        </w:rPr>
        <w:t xml:space="preserve">Policy Approver: </w:t>
      </w:r>
      <w:r>
        <w:rPr>
          <w:rFonts w:ascii="Source Sans Pro" w:hAnsi="Source Sans Pro"/>
          <w:sz w:val="20"/>
        </w:rPr>
        <w:t>Vice-President Administration &amp; Finance And Chief Operating Officer</w:t>
        <w:br/>
      </w:r>
      <w:r>
        <w:rPr>
          <w:rFonts w:ascii="Source Sans Pro" w:hAnsi="Source Sans Pro"/>
          <w:b/>
          <w:sz w:val="20"/>
        </w:rPr>
        <w:t xml:space="preserve">Policy Steward: </w:t>
      </w:r>
      <w:r>
        <w:rPr>
          <w:rFonts w:ascii="Source Sans Pro" w:hAnsi="Source Sans Pro"/>
          <w:sz w:val="20"/>
        </w:rPr>
        <w:t>Principal Adviser, Student Conduct</w:t>
        <w:br/>
      </w:r>
      <w:r>
        <w:rPr>
          <w:rFonts w:ascii="Source Sans Pro" w:hAnsi="Source Sans Pro"/>
          <w:b/>
          <w:sz w:val="20"/>
        </w:rPr>
        <w:t xml:space="preserve">Supporting Process: </w:t>
      </w:r>
      <w:r/>
      <w:r>
        <w:br/>
      </w:r>
      <w:hyperlink r:id="rId38">
        <w:r>
          <w:rPr>
            <w:color w:val="0000FF"/>
            <w:u w:val="single"/>
          </w:rPr>
          <w:t>Student Management and Support Processes</w:t>
        </w:r>
      </w:hyperlink>
      <w:r/>
      <w:r>
        <w:br/>
      </w:r>
    </w:p>
    <w:p w14:paraId="443EA65F" w14:textId="2CB9508A" w:rsidR="00982D06" w:rsidRDefault="00D96E42">
      <w:pPr>
        <w:pStyle w:val="Heading1"/>
      </w:pPr>
      <w:r>
        <w:t>Student Fitness to Study Policy (MPF1349)</w:t>
      </w:r>
      <w:r w:rsidR="009B4FA5" w:rsidDel="009B4FA5">
        <w:t xml:space="preserve"> </w:t>
      </w:r>
    </w:p>
    <w:p w14:paraId="328174B0" w14:textId="77777777" w:rsidR="00982D06" w:rsidRDefault="00D96E42">
      <w:pPr>
        <w:pStyle w:val="Heading2"/>
      </w:pPr>
      <w:r>
        <w:t>1. Objective</w:t>
      </w:r>
    </w:p>
    <w:p w14:paraId="2B66462D"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1.1. The objectives of this policy are to:</w:t>
      </w:r>
    </w:p>
    <w:p w14:paraId="0D9EF5B5"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identify and support students whose behaviour and/or actions in relation to their fitness to study:</w:t>
      </w:r>
    </w:p>
    <w:p w14:paraId="2644CD90" w14:textId="77777777" w:rsidR="00982D06" w:rsidRDefault="00D96E42">
      <w:pPr>
        <w:pBdr>
          <w:left w:val="none" w:sz="0" w:space="31" w:color="auto"/>
        </w:pBdr>
        <w:spacing w:after="280" w:afterAutospacing="1"/>
        <w:rPr>
          <w:rFonts w:ascii="Arial" w:eastAsia="Arial" w:hAnsi="Arial" w:cs="Arial"/>
          <w:color w:val="000000"/>
          <w:sz w:val="20"/>
          <w:szCs w:val="20"/>
        </w:rPr>
      </w:pP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may be impacting adversely on, or pose a risk to the student’s learning/research or other students’ learning/research; and/or</w:t>
      </w:r>
    </w:p>
    <w:p w14:paraId="388ED89E" w14:textId="77777777" w:rsidR="00982D06" w:rsidRDefault="00D96E42">
      <w:pPr>
        <w:pBdr>
          <w:left w:val="none" w:sz="0" w:space="31"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ii. pose a risk to, the health and safety of the student or others.</w:t>
      </w:r>
    </w:p>
    <w:p w14:paraId="5B18EDED"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support students who experience issues that may affect their fitness to study;</w:t>
      </w:r>
    </w:p>
    <w:p w14:paraId="666C96B4"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provide a suitable framework for the effective, consistent and timely identification and management of fitness to study issues that may arise;</w:t>
      </w:r>
    </w:p>
    <w:p w14:paraId="6EDE700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(d) protect the student, staff, faculty, placement providers, the University, and the public.</w:t>
      </w:r>
    </w:p>
    <w:p w14:paraId="667C80F3" w14:textId="77777777" w:rsidR="00982D06" w:rsidRDefault="00D96E42">
      <w:pPr>
        <w:pStyle w:val="Heading2"/>
      </w:pPr>
      <w:r>
        <w:t>2. Scope</w:t>
      </w:r>
    </w:p>
    <w:p w14:paraId="516BE456"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2.1. This policy applies to:</w:t>
      </w:r>
    </w:p>
    <w:p w14:paraId="33238CF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all students admitted to a course or subject of the University;</w:t>
      </w:r>
    </w:p>
    <w:p w14:paraId="75E38B69"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enrolled students;</w:t>
      </w:r>
    </w:p>
    <w:p w14:paraId="35683760"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prospective students;</w:t>
      </w:r>
    </w:p>
    <w:p w14:paraId="7A213E01"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(d) former students seeking to return to study in a course or subject.</w:t>
      </w:r>
    </w:p>
    <w:p w14:paraId="6854AE49" w14:textId="1A7E79C6" w:rsidR="00982D06" w:rsidRDefault="00D96E42" w:rsidP="0EB1BB48">
      <w:pPr>
        <w:spacing w:after="280" w:afterAutospacing="1"/>
        <w:rPr>
          <w:rFonts w:ascii="Arial" w:eastAsia="Arial" w:hAnsi="Arial" w:cs="Arial"/>
          <w:color w:val="000000"/>
          <w:sz w:val="20"/>
          <w:szCs w:val="20"/>
        </w:rPr>
      </w:pPr>
      <w:r w:rsidRPr="0EB1BB48">
        <w:rPr>
          <w:rFonts w:ascii="Arial" w:eastAsia="Arial" w:hAnsi="Arial" w:cs="Arial"/>
          <w:color w:val="000000" w:themeColor="text1"/>
          <w:sz w:val="20"/>
          <w:szCs w:val="20"/>
        </w:rPr>
        <w:t xml:space="preserve">2.2. This policy does not operate in matters where a student is </w:t>
      </w:r>
      <w:r w:rsidR="003E697D">
        <w:rPr>
          <w:rFonts w:ascii="Arial" w:eastAsia="Arial" w:hAnsi="Arial" w:cs="Arial"/>
          <w:color w:val="000000" w:themeColor="text1"/>
          <w:sz w:val="20"/>
          <w:szCs w:val="20"/>
        </w:rPr>
        <w:t xml:space="preserve">initially </w:t>
      </w:r>
      <w:r w:rsidRPr="0EB1BB48">
        <w:rPr>
          <w:rFonts w:ascii="Arial" w:eastAsia="Arial" w:hAnsi="Arial" w:cs="Arial"/>
          <w:color w:val="000000" w:themeColor="text1"/>
          <w:sz w:val="20"/>
          <w:szCs w:val="20"/>
        </w:rPr>
        <w:t xml:space="preserve">alleged to have committed </w:t>
      </w:r>
      <w:r w:rsidR="0089221E" w:rsidRPr="0EB1BB48">
        <w:rPr>
          <w:rFonts w:ascii="Arial" w:eastAsia="Arial" w:hAnsi="Arial" w:cs="Arial"/>
          <w:color w:val="000000" w:themeColor="text1"/>
          <w:sz w:val="20"/>
          <w:szCs w:val="20"/>
        </w:rPr>
        <w:t xml:space="preserve">student </w:t>
      </w:r>
      <w:r w:rsidRPr="0EB1BB48">
        <w:rPr>
          <w:rFonts w:ascii="Arial" w:eastAsia="Arial" w:hAnsi="Arial" w:cs="Arial"/>
          <w:color w:val="000000" w:themeColor="text1"/>
          <w:sz w:val="20"/>
          <w:szCs w:val="20"/>
        </w:rPr>
        <w:t>general misconduct</w:t>
      </w:r>
      <w:r w:rsidR="6647D4A6" w:rsidRPr="0EB1BB48">
        <w:rPr>
          <w:rFonts w:ascii="Arial" w:eastAsia="Arial" w:hAnsi="Arial" w:cs="Arial"/>
          <w:color w:val="000000" w:themeColor="text1"/>
          <w:sz w:val="20"/>
          <w:szCs w:val="20"/>
        </w:rPr>
        <w:t>, unless the matter is referred under section 4.3(a) or 5.6(b),</w:t>
      </w:r>
      <w:r w:rsidRPr="0EB1BB48">
        <w:rPr>
          <w:rFonts w:ascii="Arial" w:eastAsia="Arial" w:hAnsi="Arial" w:cs="Arial"/>
          <w:color w:val="000000" w:themeColor="text1"/>
          <w:sz w:val="20"/>
          <w:szCs w:val="20"/>
        </w:rPr>
        <w:t xml:space="preserve">or </w:t>
      </w:r>
      <w:r w:rsidR="0089221E" w:rsidRPr="0EB1BB48">
        <w:rPr>
          <w:rFonts w:ascii="Arial" w:eastAsia="Arial" w:hAnsi="Arial" w:cs="Arial"/>
          <w:color w:val="000000" w:themeColor="text1"/>
          <w:sz w:val="20"/>
          <w:szCs w:val="20"/>
        </w:rPr>
        <w:t xml:space="preserve">is </w:t>
      </w:r>
      <w:r w:rsidRPr="0EB1BB48">
        <w:rPr>
          <w:rFonts w:ascii="Arial" w:eastAsia="Arial" w:hAnsi="Arial" w:cs="Arial"/>
          <w:color w:val="000000" w:themeColor="text1"/>
          <w:sz w:val="20"/>
          <w:szCs w:val="20"/>
        </w:rPr>
        <w:t>subject to a</w:t>
      </w:r>
      <w:r w:rsidR="004F5676" w:rsidRPr="0EB1BB48">
        <w:rPr>
          <w:rFonts w:ascii="Arial" w:eastAsia="Arial" w:hAnsi="Arial" w:cs="Arial"/>
          <w:color w:val="000000" w:themeColor="text1"/>
          <w:sz w:val="20"/>
          <w:szCs w:val="20"/>
        </w:rPr>
        <w:t>n</w:t>
      </w:r>
      <w:r w:rsidRPr="0EB1BB48">
        <w:rPr>
          <w:rFonts w:ascii="Arial" w:eastAsia="Arial" w:hAnsi="Arial" w:cs="Arial"/>
          <w:color w:val="000000" w:themeColor="text1"/>
          <w:sz w:val="20"/>
          <w:szCs w:val="20"/>
        </w:rPr>
        <w:t xml:space="preserve"> </w:t>
      </w:r>
      <w:r w:rsidR="004F5676" w:rsidRPr="0EB1BB48">
        <w:rPr>
          <w:rFonts w:ascii="Arial" w:eastAsia="Arial" w:hAnsi="Arial" w:cs="Arial"/>
          <w:color w:val="000000" w:themeColor="text1"/>
          <w:sz w:val="20"/>
          <w:szCs w:val="20"/>
        </w:rPr>
        <w:t xml:space="preserve">Immediate </w:t>
      </w:r>
      <w:r w:rsidRPr="0EB1BB48">
        <w:rPr>
          <w:rFonts w:ascii="Arial" w:eastAsia="Arial" w:hAnsi="Arial" w:cs="Arial"/>
          <w:color w:val="000000" w:themeColor="text1"/>
          <w:sz w:val="20"/>
          <w:szCs w:val="20"/>
        </w:rPr>
        <w:t xml:space="preserve">Order in accordance with Part 6 of the </w:t>
      </w:r>
      <w:hyperlink r:id="rId11">
        <w:r w:rsidRPr="0EB1BB48">
          <w:rPr>
            <w:rFonts w:ascii="Arial" w:eastAsia="Arial" w:hAnsi="Arial" w:cs="Arial"/>
            <w:color w:val="0000FF"/>
            <w:sz w:val="20"/>
            <w:szCs w:val="20"/>
            <w:u w:val="single"/>
          </w:rPr>
          <w:t>Vice Chancellor Regulation</w:t>
        </w:r>
      </w:hyperlink>
      <w:r w:rsidRPr="0EB1BB48">
        <w:rPr>
          <w:rFonts w:ascii="Arial" w:eastAsia="Arial" w:hAnsi="Arial" w:cs="Arial"/>
          <w:color w:val="000000" w:themeColor="text1"/>
          <w:sz w:val="20"/>
          <w:szCs w:val="20"/>
        </w:rPr>
        <w:t>.</w:t>
      </w:r>
    </w:p>
    <w:p w14:paraId="13AF2587" w14:textId="163D04E9"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2.3. This policy works alongside the </w:t>
      </w:r>
      <w:hyperlink r:id="rId12" w:history="1">
        <w:r>
          <w:rPr>
            <w:rFonts w:ascii="Arial" w:eastAsia="Arial" w:hAnsi="Arial" w:cs="Arial"/>
            <w:color w:val="0000FF"/>
            <w:sz w:val="20"/>
            <w:szCs w:val="20"/>
            <w:u w:val="single"/>
          </w:rPr>
          <w:t>Academic Progress Review Policy</w:t>
        </w:r>
      </w:hyperlink>
      <w:r>
        <w:rPr>
          <w:rFonts w:ascii="Arial" w:eastAsia="Arial" w:hAnsi="Arial" w:cs="Arial"/>
          <w:color w:val="000000"/>
          <w:sz w:val="20"/>
          <w:szCs w:val="20"/>
        </w:rPr>
        <w:t xml:space="preserve"> (MPF1291), </w:t>
      </w:r>
      <w:hyperlink r:id="rId13" w:history="1">
        <w:r>
          <w:rPr>
            <w:rFonts w:ascii="Arial" w:eastAsia="Arial" w:hAnsi="Arial" w:cs="Arial"/>
            <w:color w:val="0000FF"/>
            <w:sz w:val="20"/>
            <w:szCs w:val="20"/>
            <w:u w:val="single"/>
          </w:rPr>
          <w:t>Graduate Research Training Policy</w:t>
        </w:r>
      </w:hyperlink>
      <w:r>
        <w:rPr>
          <w:rFonts w:ascii="Arial" w:eastAsia="Arial" w:hAnsi="Arial" w:cs="Arial"/>
          <w:color w:val="000000"/>
          <w:sz w:val="20"/>
          <w:szCs w:val="20"/>
        </w:rPr>
        <w:t xml:space="preserve"> (MPF1321), </w:t>
      </w:r>
      <w:hyperlink r:id="rId14" w:history="1">
        <w:r>
          <w:rPr>
            <w:rFonts w:ascii="Arial" w:eastAsia="Arial" w:hAnsi="Arial" w:cs="Arial"/>
            <w:color w:val="0000FF"/>
            <w:sz w:val="20"/>
            <w:szCs w:val="20"/>
            <w:u w:val="single"/>
          </w:rPr>
          <w:t>Student Fitness to Practice Policy</w:t>
        </w:r>
      </w:hyperlink>
      <w:r>
        <w:rPr>
          <w:rFonts w:ascii="Arial" w:eastAsia="Arial" w:hAnsi="Arial" w:cs="Arial"/>
          <w:color w:val="000000"/>
          <w:sz w:val="20"/>
          <w:szCs w:val="20"/>
        </w:rPr>
        <w:t xml:space="preserve"> (MPF1345) and Part 7 of the </w:t>
      </w:r>
      <w:hyperlink r:id="rId15" w:history="1">
        <w:r>
          <w:rPr>
            <w:rFonts w:ascii="Arial" w:eastAsia="Arial" w:hAnsi="Arial" w:cs="Arial"/>
            <w:color w:val="0000FF"/>
            <w:sz w:val="20"/>
            <w:szCs w:val="20"/>
            <w:u w:val="single"/>
          </w:rPr>
          <w:t>Academic Board Regulation</w:t>
        </w:r>
      </w:hyperlink>
      <w:r>
        <w:rPr>
          <w:rFonts w:ascii="Arial" w:eastAsia="Arial" w:hAnsi="Arial" w:cs="Arial"/>
          <w:color w:val="000000"/>
          <w:sz w:val="20"/>
          <w:szCs w:val="20"/>
        </w:rPr>
        <w:t>, relevant course and subject rules.</w:t>
      </w:r>
    </w:p>
    <w:p w14:paraId="413F5AF3" w14:textId="77777777" w:rsidR="00982D06" w:rsidRDefault="00D96E42">
      <w:pPr>
        <w:pStyle w:val="Heading2"/>
      </w:pPr>
      <w:r>
        <w:t>3. Authority</w:t>
      </w:r>
    </w:p>
    <w:p w14:paraId="3690EAE1" w14:textId="3DF21AF6"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3.1. This policy is made under the </w:t>
      </w:r>
      <w:hyperlink r:id="rId16" w:anchor="legislation" w:history="1">
        <w:r>
          <w:rPr>
            <w:rFonts w:ascii="Arial" w:eastAsia="Arial" w:hAnsi="Arial" w:cs="Arial"/>
            <w:color w:val="0000FF"/>
            <w:sz w:val="20"/>
            <w:szCs w:val="20"/>
            <w:u w:val="single"/>
          </w:rPr>
          <w:t>University of Melbourne Act 2009 (Vic)</w:t>
        </w:r>
      </w:hyperlink>
      <w:r>
        <w:rPr>
          <w:rFonts w:ascii="Arial" w:eastAsia="Arial" w:hAnsi="Arial" w:cs="Arial"/>
          <w:color w:val="000000"/>
          <w:sz w:val="20"/>
          <w:szCs w:val="20"/>
        </w:rPr>
        <w:t xml:space="preserve"> and section </w:t>
      </w:r>
      <w:r w:rsidR="00B51BB9">
        <w:rPr>
          <w:rFonts w:ascii="Arial" w:eastAsia="Arial" w:hAnsi="Arial" w:cs="Arial"/>
          <w:color w:val="000000"/>
          <w:sz w:val="20"/>
          <w:szCs w:val="20"/>
        </w:rPr>
        <w:t>31</w:t>
      </w:r>
      <w:r w:rsidR="00177600">
        <w:rPr>
          <w:rFonts w:ascii="Arial" w:eastAsia="Arial" w:hAnsi="Arial" w:cs="Arial"/>
          <w:color w:val="000000"/>
          <w:sz w:val="20"/>
          <w:szCs w:val="20"/>
        </w:rPr>
        <w:t xml:space="preserve">(3) </w:t>
      </w:r>
      <w:r>
        <w:rPr>
          <w:rFonts w:ascii="Arial" w:eastAsia="Arial" w:hAnsi="Arial" w:cs="Arial"/>
          <w:color w:val="000000"/>
          <w:sz w:val="20"/>
          <w:szCs w:val="20"/>
        </w:rPr>
        <w:t xml:space="preserve">of the </w:t>
      </w:r>
      <w:hyperlink r:id="rId17"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 xml:space="preserve"> and supports compliance with the Equal Opportunity Act 2011 (Vic) and the Charter of Human Rights and Responsibilities Act 2006 (Vic).</w:t>
      </w:r>
    </w:p>
    <w:p w14:paraId="708F81F7" w14:textId="77777777" w:rsidR="00982D06" w:rsidRDefault="00D96E42">
      <w:pPr>
        <w:pStyle w:val="Heading2"/>
      </w:pPr>
      <w:r>
        <w:t>4. Policy</w:t>
      </w:r>
    </w:p>
    <w:p w14:paraId="4C79E4D4"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4.1. Students must be offered reasonable support to enable successful completion of study in courses and subjects.</w:t>
      </w:r>
    </w:p>
    <w:p w14:paraId="7B4C7BD8"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lastRenderedPageBreak/>
        <w:t>4.2. University staff, including any group or panel, involved in implementing this policy must:</w:t>
      </w:r>
    </w:p>
    <w:p w14:paraId="4037FDB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consider what University support may be offered to students to provide equal opportunities for all students to develop their full learning potential and benefit from their study;</w:t>
      </w:r>
    </w:p>
    <w:p w14:paraId="3F0D0CDA"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undertake procedures or processes that are transparent to the student involved;</w:t>
      </w:r>
    </w:p>
    <w:p w14:paraId="72B2E9F3"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handle matters raised under this policy sensitively;</w:t>
      </w:r>
    </w:p>
    <w:p w14:paraId="54C5F88D" w14:textId="42D089D0"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(d) maintain student confidentially in accordance with the University Privacy Policy</w:t>
      </w:r>
      <w:r w:rsidR="00003979">
        <w:rPr>
          <w:rFonts w:ascii="Arial" w:eastAsia="Arial" w:hAnsi="Arial" w:cs="Arial"/>
          <w:color w:val="000000"/>
          <w:sz w:val="20"/>
          <w:szCs w:val="20"/>
        </w:rPr>
        <w:t xml:space="preserve"> (</w:t>
      </w:r>
      <w:hyperlink r:id="rId18" w:history="1">
        <w:r w:rsidR="00003979" w:rsidRPr="00DB6918">
          <w:rPr>
            <w:rStyle w:val="Hyperlink"/>
            <w:rFonts w:ascii="Arial" w:eastAsia="Arial" w:hAnsi="Arial" w:cs="Arial"/>
            <w:sz w:val="20"/>
            <w:szCs w:val="20"/>
          </w:rPr>
          <w:t>MPF1104</w:t>
        </w:r>
      </w:hyperlink>
      <w:r w:rsidR="00003979">
        <w:rPr>
          <w:rFonts w:ascii="Arial" w:eastAsia="Arial" w:hAnsi="Arial" w:cs="Arial"/>
          <w:color w:val="000000"/>
          <w:sz w:val="20"/>
          <w:szCs w:val="20"/>
        </w:rPr>
        <w:t xml:space="preserve">); </w:t>
      </w:r>
      <w:r>
        <w:rPr>
          <w:rFonts w:ascii="Arial" w:eastAsia="Arial" w:hAnsi="Arial" w:cs="Arial"/>
          <w:color w:val="000000"/>
          <w:sz w:val="20"/>
          <w:szCs w:val="20"/>
        </w:rPr>
        <w:t>and</w:t>
      </w:r>
    </w:p>
    <w:p w14:paraId="49DD1B01"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(e) provide any student subject to a concern about the student’s fitness to study, an opportunity to be heard and accompanied or represented by a support person.</w:t>
      </w:r>
    </w:p>
    <w:p w14:paraId="4261D0C7"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4.3. The Academic Registrar may, at any time:</w:t>
      </w:r>
    </w:p>
    <w:p w14:paraId="3D932CD9"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refer any matter initiated under this policy to be dealt with under another policy or University Regulation as appropriate; and</w:t>
      </w:r>
    </w:p>
    <w:p w14:paraId="522C5068"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stop any actions commenced under this policy.</w:t>
      </w:r>
    </w:p>
    <w:p w14:paraId="09157BE1" w14:textId="77777777" w:rsidR="00982D06" w:rsidRDefault="00D96E42">
      <w:pPr>
        <w:pStyle w:val="Heading2"/>
      </w:pPr>
      <w:r>
        <w:t>5. Procedural principles</w:t>
      </w:r>
    </w:p>
    <w:p w14:paraId="183E0EE7" w14:textId="77777777" w:rsidR="00982D06" w:rsidRDefault="00D96E42">
      <w:pPr>
        <w:pStyle w:val="Heading3"/>
      </w:pPr>
      <w:r>
        <w:t>Case Management and Support</w:t>
      </w:r>
    </w:p>
    <w:p w14:paraId="1FCE752F" w14:textId="5D4524D2"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 A dean must appoint at least one senior member of staff as a faculty fitness to study officer to support the implementation of this policy.</w:t>
      </w:r>
    </w:p>
    <w:p w14:paraId="4E724791" w14:textId="66F4787E"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5.2. The Academic Registrar must establish a standing Fitness to Study Advisory Group of University staff with expertise in student health, equity and disability, wellbeing and support. The group provides advice to university staff on reasonable adjustments to studies and appropriate ways for the university to respond to and support students whose behaviour has been raised as a concern. The group does not make a diagnosis or provide </w:t>
      </w:r>
      <w:r w:rsidR="00143311">
        <w:rPr>
          <w:rFonts w:ascii="Arial" w:eastAsia="Arial" w:hAnsi="Arial" w:cs="Arial"/>
          <w:color w:val="000000"/>
          <w:sz w:val="20"/>
          <w:szCs w:val="20"/>
        </w:rPr>
        <w:t xml:space="preserve">medical </w:t>
      </w:r>
      <w:r>
        <w:rPr>
          <w:rFonts w:ascii="Arial" w:eastAsia="Arial" w:hAnsi="Arial" w:cs="Arial"/>
          <w:color w:val="000000"/>
          <w:sz w:val="20"/>
          <w:szCs w:val="20"/>
        </w:rPr>
        <w:t>advice on the management of a student’s health or disability related condition.</w:t>
      </w:r>
    </w:p>
    <w:p w14:paraId="1130680F"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5.3. University staff, students, supervisors or other member of the University community who considers that a student’s behaviour represents grounds for concern about the student’s fitness to study must report this to the Academic Registrar who may:</w:t>
      </w:r>
    </w:p>
    <w:p w14:paraId="0914CDE3"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refer the matter to be managed according to another policy or process; or</w:t>
      </w:r>
    </w:p>
    <w:p w14:paraId="5D28BE47" w14:textId="5E16F14D" w:rsidR="005626B9" w:rsidRDefault="00D96E42" w:rsidP="00D17ADB">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(b) subject to section 5.4, </w:t>
      </w:r>
      <w:r w:rsidR="006F55CB">
        <w:rPr>
          <w:rFonts w:ascii="Arial" w:eastAsia="Arial" w:hAnsi="Arial" w:cs="Arial"/>
          <w:color w:val="000000"/>
          <w:sz w:val="20"/>
          <w:szCs w:val="20"/>
        </w:rPr>
        <w:t xml:space="preserve">the Academic Registrar will </w:t>
      </w:r>
      <w:r>
        <w:rPr>
          <w:rFonts w:ascii="Arial" w:eastAsia="Arial" w:hAnsi="Arial" w:cs="Arial"/>
          <w:color w:val="000000"/>
          <w:sz w:val="20"/>
          <w:szCs w:val="20"/>
        </w:rPr>
        <w:t>nominate an appropriate case coordinator</w:t>
      </w:r>
      <w:r w:rsidR="006F55CB">
        <w:rPr>
          <w:rFonts w:ascii="Arial" w:eastAsia="Arial" w:hAnsi="Arial" w:cs="Arial"/>
          <w:color w:val="000000"/>
          <w:sz w:val="20"/>
          <w:szCs w:val="20"/>
        </w:rPr>
        <w:t>, who</w:t>
      </w:r>
      <w:r w:rsidR="00ED50F3">
        <w:rPr>
          <w:rFonts w:ascii="Arial" w:eastAsia="Arial" w:hAnsi="Arial" w:cs="Arial"/>
          <w:color w:val="000000"/>
          <w:sz w:val="20"/>
          <w:szCs w:val="20"/>
        </w:rPr>
        <w:t xml:space="preserve"> may be a </w:t>
      </w:r>
      <w:r w:rsidR="00030C6B">
        <w:rPr>
          <w:rFonts w:ascii="Arial" w:eastAsia="Arial" w:hAnsi="Arial" w:cs="Arial"/>
          <w:color w:val="000000"/>
          <w:sz w:val="20"/>
          <w:szCs w:val="20"/>
        </w:rPr>
        <w:t>senior member of academic or professional staff with expertise the provision of advice or support in health, equity, disability or wellbeing</w:t>
      </w:r>
      <w:r w:rsidR="005626B9">
        <w:rPr>
          <w:rFonts w:ascii="Arial" w:eastAsia="Arial" w:hAnsi="Arial" w:cs="Arial"/>
          <w:color w:val="000000"/>
          <w:sz w:val="20"/>
          <w:szCs w:val="20"/>
        </w:rPr>
        <w:t>.</w:t>
      </w:r>
    </w:p>
    <w:p w14:paraId="5885F04B" w14:textId="1DE67C17" w:rsidR="00982D06" w:rsidRDefault="00D96E42" w:rsidP="00D17ADB">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5.4. To nominate an appropriate case coordinator under section 5.3, the Academic Registrar must, in consultation with</w:t>
      </w:r>
      <w:r w:rsidR="007F35CF">
        <w:rPr>
          <w:rFonts w:ascii="Arial" w:eastAsia="Arial" w:hAnsi="Arial" w:cs="Arial"/>
          <w:color w:val="000000"/>
          <w:sz w:val="20"/>
          <w:szCs w:val="20"/>
        </w:rPr>
        <w:t xml:space="preserve"> per</w:t>
      </w:r>
      <w:r w:rsidR="00EE5CCB">
        <w:rPr>
          <w:rFonts w:ascii="Arial" w:eastAsia="Arial" w:hAnsi="Arial" w:cs="Arial"/>
          <w:color w:val="000000"/>
          <w:sz w:val="20"/>
          <w:szCs w:val="20"/>
        </w:rPr>
        <w:t>sons with expertise in health, equity and disability, wellbe</w:t>
      </w:r>
      <w:r w:rsidR="005116A2">
        <w:rPr>
          <w:rFonts w:ascii="Arial" w:eastAsia="Arial" w:hAnsi="Arial" w:cs="Arial"/>
          <w:color w:val="000000"/>
          <w:sz w:val="20"/>
          <w:szCs w:val="20"/>
        </w:rPr>
        <w:t>ing and support and/or</w:t>
      </w:r>
      <w:r>
        <w:rPr>
          <w:rFonts w:ascii="Arial" w:eastAsia="Arial" w:hAnsi="Arial" w:cs="Arial"/>
          <w:color w:val="000000"/>
          <w:sz w:val="20"/>
          <w:szCs w:val="20"/>
        </w:rPr>
        <w:t xml:space="preserve"> one or more relevant faculty fitness to study officer/s, form a reasonable belief that the student’s reported behaviour impacts their fitness to study.</w:t>
      </w:r>
    </w:p>
    <w:p w14:paraId="25604DAE"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5.5. The case coordinator must:</w:t>
      </w:r>
    </w:p>
    <w:p w14:paraId="7A90DD48" w14:textId="13F4E55A"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lastRenderedPageBreak/>
        <w:t>(a) at the earliest opportunity</w:t>
      </w:r>
      <w:r w:rsidR="005116A2">
        <w:rPr>
          <w:rFonts w:ascii="Arial" w:eastAsia="Arial" w:hAnsi="Arial" w:cs="Arial"/>
          <w:color w:val="000000"/>
          <w:sz w:val="20"/>
          <w:szCs w:val="20"/>
        </w:rPr>
        <w:t xml:space="preserve">, and as </w:t>
      </w:r>
      <w:r w:rsidR="00723484">
        <w:rPr>
          <w:rFonts w:ascii="Arial" w:eastAsia="Arial" w:hAnsi="Arial" w:cs="Arial"/>
          <w:color w:val="000000"/>
          <w:sz w:val="20"/>
          <w:szCs w:val="20"/>
        </w:rPr>
        <w:t>the first step in this process,</w:t>
      </w:r>
      <w:r>
        <w:rPr>
          <w:rFonts w:ascii="Arial" w:eastAsia="Arial" w:hAnsi="Arial" w:cs="Arial"/>
          <w:color w:val="000000"/>
          <w:sz w:val="20"/>
          <w:szCs w:val="20"/>
        </w:rPr>
        <w:t xml:space="preserve"> discuss the concern with the student </w:t>
      </w:r>
      <w:r w:rsidR="00C40417">
        <w:rPr>
          <w:rFonts w:ascii="Arial" w:eastAsia="Arial" w:hAnsi="Arial" w:cs="Arial"/>
          <w:color w:val="000000"/>
          <w:sz w:val="20"/>
          <w:szCs w:val="20"/>
        </w:rPr>
        <w:t xml:space="preserve">who is the </w:t>
      </w:r>
      <w:r>
        <w:rPr>
          <w:rFonts w:ascii="Arial" w:eastAsia="Arial" w:hAnsi="Arial" w:cs="Arial"/>
          <w:color w:val="000000"/>
          <w:sz w:val="20"/>
          <w:szCs w:val="20"/>
        </w:rPr>
        <w:t>subject to the concern;</w:t>
      </w:r>
    </w:p>
    <w:p w14:paraId="101944A0" w14:textId="07572224" w:rsidR="003B3F30" w:rsidRDefault="003B3F30">
      <w:pPr>
        <w:pBdr>
          <w:left w:val="none" w:sz="0" w:space="22" w:color="auto"/>
        </w:pBdr>
        <w:spacing w:after="280" w:afterAutospacing="1"/>
        <w:rPr>
          <w:rFonts w:ascii="Arial" w:eastAsia="Arial" w:hAnsi="Arial" w:cs="Arial"/>
          <w:color w:val="000000"/>
          <w:sz w:val="20"/>
          <w:szCs w:val="20"/>
        </w:rPr>
      </w:pPr>
      <w:r w:rsidRPr="306142E4">
        <w:rPr>
          <w:rFonts w:ascii="Arial" w:eastAsia="Arial" w:hAnsi="Arial" w:cs="Arial"/>
          <w:color w:val="000000" w:themeColor="text1"/>
          <w:sz w:val="20"/>
          <w:szCs w:val="20"/>
        </w:rPr>
        <w:t xml:space="preserve">(b) </w:t>
      </w:r>
      <w:r w:rsidRPr="0021213B">
        <w:rPr>
          <w:rFonts w:ascii="Arial" w:eastAsia="Arial" w:hAnsi="Arial" w:cs="Arial"/>
          <w:sz w:val="20"/>
          <w:szCs w:val="20"/>
        </w:rPr>
        <w:t xml:space="preserve">identify any immediate risks associated with the student’s behaviour to the student and others and take appropriate steps to address the risk, which may involve </w:t>
      </w:r>
      <w:r w:rsidR="00D845E0" w:rsidRPr="0021213B">
        <w:rPr>
          <w:rFonts w:ascii="Arial" w:eastAsia="Arial" w:hAnsi="Arial" w:cs="Arial"/>
          <w:sz w:val="20"/>
          <w:szCs w:val="20"/>
        </w:rPr>
        <w:t xml:space="preserve">pausing a student’s participation in </w:t>
      </w:r>
      <w:r w:rsidR="001D344B" w:rsidRPr="0021213B">
        <w:rPr>
          <w:rFonts w:ascii="Arial" w:eastAsia="Arial" w:hAnsi="Arial" w:cs="Arial"/>
          <w:sz w:val="20"/>
          <w:szCs w:val="20"/>
        </w:rPr>
        <w:t>specified classes or professional placement</w:t>
      </w:r>
      <w:r w:rsidR="00886449" w:rsidRPr="0021213B">
        <w:rPr>
          <w:rFonts w:ascii="Arial" w:eastAsia="Arial" w:hAnsi="Arial" w:cs="Arial"/>
          <w:sz w:val="20"/>
          <w:szCs w:val="20"/>
        </w:rPr>
        <w:t>s,</w:t>
      </w:r>
      <w:r w:rsidR="004B621C" w:rsidRPr="0021213B">
        <w:rPr>
          <w:rFonts w:ascii="Arial" w:eastAsia="Arial" w:hAnsi="Arial" w:cs="Arial"/>
          <w:sz w:val="20"/>
          <w:szCs w:val="20"/>
        </w:rPr>
        <w:t xml:space="preserve"> and other University activities, r</w:t>
      </w:r>
      <w:r w:rsidR="00143311" w:rsidRPr="0021213B">
        <w:rPr>
          <w:rFonts w:ascii="Arial" w:eastAsia="Arial" w:hAnsi="Arial" w:cs="Arial"/>
          <w:sz w:val="20"/>
          <w:szCs w:val="20"/>
        </w:rPr>
        <w:t xml:space="preserve">estricting </w:t>
      </w:r>
      <w:r w:rsidRPr="0021213B">
        <w:rPr>
          <w:rFonts w:ascii="Arial" w:eastAsia="Arial" w:hAnsi="Arial" w:cs="Arial"/>
          <w:sz w:val="20"/>
          <w:szCs w:val="20"/>
        </w:rPr>
        <w:t>the student</w:t>
      </w:r>
      <w:r w:rsidR="00143311" w:rsidRPr="0021213B">
        <w:rPr>
          <w:rFonts w:ascii="Arial" w:eastAsia="Arial" w:hAnsi="Arial" w:cs="Arial"/>
          <w:sz w:val="20"/>
          <w:szCs w:val="20"/>
        </w:rPr>
        <w:t>’s</w:t>
      </w:r>
      <w:r w:rsidRPr="0021213B">
        <w:rPr>
          <w:rFonts w:ascii="Arial" w:eastAsia="Arial" w:hAnsi="Arial" w:cs="Arial"/>
          <w:sz w:val="20"/>
          <w:szCs w:val="20"/>
        </w:rPr>
        <w:t xml:space="preserve"> access to campus and/or University managed accommodation, pending the outcome of the fitness to study process;</w:t>
      </w:r>
    </w:p>
    <w:p w14:paraId="22860187" w14:textId="29996666"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3B3F30">
        <w:rPr>
          <w:rFonts w:ascii="Arial" w:eastAsia="Arial" w:hAnsi="Arial" w:cs="Arial"/>
          <w:color w:val="000000"/>
          <w:sz w:val="20"/>
          <w:szCs w:val="20"/>
        </w:rPr>
        <w:t>c</w:t>
      </w:r>
      <w:r>
        <w:rPr>
          <w:rFonts w:ascii="Arial" w:eastAsia="Arial" w:hAnsi="Arial" w:cs="Arial"/>
          <w:color w:val="000000"/>
          <w:sz w:val="20"/>
          <w:szCs w:val="20"/>
        </w:rPr>
        <w:t>) consider the student’s perception of their behaviour, and the response of the student to any steps taken</w:t>
      </w:r>
      <w:r w:rsidR="003B3F30">
        <w:rPr>
          <w:rFonts w:ascii="Arial" w:eastAsia="Arial" w:hAnsi="Arial" w:cs="Arial"/>
          <w:color w:val="000000"/>
          <w:sz w:val="20"/>
          <w:szCs w:val="20"/>
        </w:rPr>
        <w:t>, or proposed to be taken,</w:t>
      </w:r>
      <w:r>
        <w:rPr>
          <w:rFonts w:ascii="Arial" w:eastAsia="Arial" w:hAnsi="Arial" w:cs="Arial"/>
          <w:color w:val="000000"/>
          <w:sz w:val="20"/>
          <w:szCs w:val="20"/>
        </w:rPr>
        <w:t xml:space="preserve"> by the University to manage the situation;</w:t>
      </w:r>
    </w:p>
    <w:p w14:paraId="09F560F4" w14:textId="18368D59"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3B3F30">
        <w:rPr>
          <w:rFonts w:ascii="Arial" w:eastAsia="Arial" w:hAnsi="Arial" w:cs="Arial"/>
          <w:color w:val="000000"/>
          <w:sz w:val="20"/>
          <w:szCs w:val="20"/>
        </w:rPr>
        <w:t>d</w:t>
      </w:r>
      <w:r>
        <w:rPr>
          <w:rFonts w:ascii="Arial" w:eastAsia="Arial" w:hAnsi="Arial" w:cs="Arial"/>
          <w:color w:val="000000"/>
          <w:sz w:val="20"/>
          <w:szCs w:val="20"/>
        </w:rPr>
        <w:t xml:space="preserve">) identify existing support and adjustments that </w:t>
      </w:r>
      <w:r w:rsidR="003B3F30">
        <w:rPr>
          <w:rFonts w:ascii="Arial" w:eastAsia="Arial" w:hAnsi="Arial" w:cs="Arial"/>
          <w:color w:val="000000"/>
          <w:sz w:val="20"/>
          <w:szCs w:val="20"/>
        </w:rPr>
        <w:t xml:space="preserve">are being, or </w:t>
      </w:r>
      <w:r>
        <w:rPr>
          <w:rFonts w:ascii="Arial" w:eastAsia="Arial" w:hAnsi="Arial" w:cs="Arial"/>
          <w:color w:val="000000"/>
          <w:sz w:val="20"/>
          <w:szCs w:val="20"/>
        </w:rPr>
        <w:t>may be</w:t>
      </w:r>
      <w:r w:rsidR="003B3F30">
        <w:rPr>
          <w:rFonts w:ascii="Arial" w:eastAsia="Arial" w:hAnsi="Arial" w:cs="Arial"/>
          <w:color w:val="000000"/>
          <w:sz w:val="20"/>
          <w:szCs w:val="20"/>
        </w:rPr>
        <w:t>,</w:t>
      </w:r>
      <w:r>
        <w:rPr>
          <w:rFonts w:ascii="Arial" w:eastAsia="Arial" w:hAnsi="Arial" w:cs="Arial"/>
          <w:color w:val="000000"/>
          <w:sz w:val="20"/>
          <w:szCs w:val="20"/>
        </w:rPr>
        <w:t xml:space="preserve"> provided to the student in order to address the concern;</w:t>
      </w:r>
    </w:p>
    <w:p w14:paraId="25951A01" w14:textId="2029143A"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3B3F30">
        <w:rPr>
          <w:rFonts w:ascii="Arial" w:eastAsia="Arial" w:hAnsi="Arial" w:cs="Arial"/>
          <w:color w:val="000000"/>
          <w:sz w:val="20"/>
          <w:szCs w:val="20"/>
        </w:rPr>
        <w:t>e</w:t>
      </w:r>
      <w:r>
        <w:rPr>
          <w:rFonts w:ascii="Arial" w:eastAsia="Arial" w:hAnsi="Arial" w:cs="Arial"/>
          <w:color w:val="000000"/>
          <w:sz w:val="20"/>
          <w:szCs w:val="20"/>
        </w:rPr>
        <w:t>) seek advice from the Fitness to Study Advisory Group and</w:t>
      </w:r>
      <w:r w:rsidR="003B3F30">
        <w:rPr>
          <w:rFonts w:ascii="Arial" w:eastAsia="Arial" w:hAnsi="Arial" w:cs="Arial"/>
          <w:color w:val="000000"/>
          <w:sz w:val="20"/>
          <w:szCs w:val="20"/>
        </w:rPr>
        <w:t>/or</w:t>
      </w:r>
      <w:r>
        <w:rPr>
          <w:rFonts w:ascii="Arial" w:eastAsia="Arial" w:hAnsi="Arial" w:cs="Arial"/>
          <w:color w:val="000000"/>
          <w:sz w:val="20"/>
          <w:szCs w:val="20"/>
        </w:rPr>
        <w:t xml:space="preserve"> one or more relevant faculty fitness to study officer/s;</w:t>
      </w:r>
    </w:p>
    <w:p w14:paraId="54D83730" w14:textId="5CEEADD6" w:rsidR="00982D06" w:rsidRDefault="00D96E42" w:rsidP="4CC26AB4">
      <w:pPr>
        <w:pBdr>
          <w:left w:val="none" w:sz="0" w:space="22" w:color="auto"/>
        </w:pBdr>
        <w:spacing w:after="280" w:afterAutospacing="1"/>
        <w:rPr>
          <w:rFonts w:ascii="Arial" w:eastAsia="Arial" w:hAnsi="Arial" w:cs="Arial"/>
          <w:color w:val="000000"/>
          <w:sz w:val="20"/>
          <w:szCs w:val="20"/>
        </w:rPr>
      </w:pPr>
      <w:r w:rsidRPr="4CC26AB4">
        <w:rPr>
          <w:rFonts w:ascii="Arial" w:eastAsia="Arial" w:hAnsi="Arial" w:cs="Arial"/>
          <w:color w:val="000000" w:themeColor="text1"/>
          <w:sz w:val="20"/>
          <w:szCs w:val="20"/>
        </w:rPr>
        <w:t>(f) where appropriate, request the student to provide further information, such as a health professional report</w:t>
      </w:r>
      <w:r w:rsidR="00C92D8E" w:rsidRPr="4CC26AB4">
        <w:rPr>
          <w:rFonts w:ascii="Arial" w:eastAsia="Arial" w:hAnsi="Arial" w:cs="Arial"/>
          <w:color w:val="000000" w:themeColor="text1"/>
          <w:sz w:val="20"/>
          <w:szCs w:val="20"/>
        </w:rPr>
        <w:t>,</w:t>
      </w:r>
      <w:r w:rsidR="0039615D" w:rsidRPr="4CC26AB4">
        <w:rPr>
          <w:rFonts w:ascii="Arial" w:eastAsia="Arial" w:hAnsi="Arial" w:cs="Arial"/>
          <w:color w:val="000000" w:themeColor="text1"/>
          <w:sz w:val="20"/>
          <w:szCs w:val="20"/>
        </w:rPr>
        <w:t xml:space="preserve"> a </w:t>
      </w:r>
      <w:r w:rsidR="00C92D8E" w:rsidRPr="4CC26AB4">
        <w:rPr>
          <w:rFonts w:ascii="Arial" w:eastAsia="Arial" w:hAnsi="Arial" w:cs="Arial"/>
          <w:color w:val="000000" w:themeColor="text1"/>
          <w:sz w:val="20"/>
          <w:szCs w:val="20"/>
        </w:rPr>
        <w:t xml:space="preserve">safety </w:t>
      </w:r>
      <w:r w:rsidR="2FC1D0B0" w:rsidRPr="4CC26AB4">
        <w:rPr>
          <w:rFonts w:ascii="Arial" w:eastAsia="Arial" w:hAnsi="Arial" w:cs="Arial"/>
          <w:color w:val="000000" w:themeColor="text1"/>
          <w:sz w:val="20"/>
          <w:szCs w:val="20"/>
        </w:rPr>
        <w:t xml:space="preserve">management or care </w:t>
      </w:r>
      <w:r w:rsidR="00C92D8E" w:rsidRPr="4CC26AB4">
        <w:rPr>
          <w:rFonts w:ascii="Arial" w:eastAsia="Arial" w:hAnsi="Arial" w:cs="Arial"/>
          <w:color w:val="000000" w:themeColor="text1"/>
          <w:sz w:val="20"/>
          <w:szCs w:val="20"/>
        </w:rPr>
        <w:t>plan</w:t>
      </w:r>
      <w:r w:rsidR="0055522C" w:rsidRPr="4CC26AB4">
        <w:rPr>
          <w:rFonts w:ascii="Arial" w:eastAsia="Arial" w:hAnsi="Arial" w:cs="Arial"/>
          <w:color w:val="000000" w:themeColor="text1"/>
          <w:sz w:val="20"/>
          <w:szCs w:val="20"/>
        </w:rPr>
        <w:t>,</w:t>
      </w:r>
      <w:r w:rsidRPr="4CC26AB4">
        <w:rPr>
          <w:rFonts w:ascii="Arial" w:eastAsia="Arial" w:hAnsi="Arial" w:cs="Arial"/>
          <w:color w:val="000000" w:themeColor="text1"/>
          <w:sz w:val="20"/>
          <w:szCs w:val="20"/>
        </w:rPr>
        <w:t xml:space="preserve"> or a proposal on how to address the issue;</w:t>
      </w:r>
    </w:p>
    <w:p w14:paraId="04CCEDE1" w14:textId="6155D488" w:rsidR="00311094" w:rsidRDefault="00D96E42" w:rsidP="00311094">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(g) </w:t>
      </w:r>
      <w:r w:rsidR="00311094">
        <w:rPr>
          <w:rFonts w:ascii="Arial" w:eastAsia="Arial" w:hAnsi="Arial" w:cs="Arial"/>
          <w:color w:val="000000"/>
          <w:sz w:val="20"/>
          <w:szCs w:val="20"/>
        </w:rPr>
        <w:t xml:space="preserve">notify the </w:t>
      </w:r>
      <w:r w:rsidR="00311094" w:rsidRPr="0021213B">
        <w:rPr>
          <w:rFonts w:ascii="Arial" w:eastAsia="Arial" w:hAnsi="Arial" w:cs="Arial"/>
          <w:sz w:val="20"/>
          <w:szCs w:val="20"/>
        </w:rPr>
        <w:t>relevant dean of the matter where the conduct is associated with teaching and learning activi</w:t>
      </w:r>
      <w:r w:rsidR="00CC406A" w:rsidRPr="0021213B">
        <w:rPr>
          <w:rFonts w:ascii="Arial" w:eastAsia="Arial" w:hAnsi="Arial" w:cs="Arial"/>
          <w:sz w:val="20"/>
          <w:szCs w:val="20"/>
        </w:rPr>
        <w:t>ties</w:t>
      </w:r>
      <w:r w:rsidR="00311094" w:rsidRPr="0021213B">
        <w:rPr>
          <w:rFonts w:ascii="Arial" w:eastAsia="Arial" w:hAnsi="Arial" w:cs="Arial"/>
          <w:sz w:val="20"/>
          <w:szCs w:val="20"/>
        </w:rPr>
        <w:t>.</w:t>
      </w:r>
    </w:p>
    <w:p w14:paraId="348D4A60" w14:textId="0A8DA651" w:rsidR="00982D06" w:rsidRDefault="00D96E42" w:rsidP="00311094">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5.6. Where there is a risk to the student’s fitness to study, the case coordinator, with support and advice from the </w:t>
      </w:r>
      <w:r w:rsidR="00C60208">
        <w:rPr>
          <w:rFonts w:ascii="Arial" w:eastAsia="Arial" w:hAnsi="Arial" w:cs="Arial"/>
          <w:color w:val="000000"/>
          <w:sz w:val="20"/>
          <w:szCs w:val="20"/>
        </w:rPr>
        <w:t>Dean or Academic Registrar</w:t>
      </w:r>
      <w:r w:rsidR="006A592A">
        <w:rPr>
          <w:rFonts w:ascii="Arial" w:eastAsia="Arial" w:hAnsi="Arial" w:cs="Arial"/>
          <w:color w:val="000000"/>
          <w:sz w:val="20"/>
          <w:szCs w:val="20"/>
        </w:rPr>
        <w:t xml:space="preserve">, </w:t>
      </w:r>
      <w:r>
        <w:rPr>
          <w:rFonts w:ascii="Arial" w:eastAsia="Arial" w:hAnsi="Arial" w:cs="Arial"/>
          <w:color w:val="000000"/>
          <w:sz w:val="20"/>
          <w:szCs w:val="20"/>
        </w:rPr>
        <w:t>Fitness to Study Advisory Group and</w:t>
      </w:r>
      <w:r w:rsidR="006A592A">
        <w:rPr>
          <w:rFonts w:ascii="Arial" w:eastAsia="Arial" w:hAnsi="Arial" w:cs="Arial"/>
          <w:color w:val="000000"/>
          <w:sz w:val="20"/>
          <w:szCs w:val="20"/>
        </w:rPr>
        <w:t>/or</w:t>
      </w:r>
      <w:r>
        <w:rPr>
          <w:rFonts w:ascii="Arial" w:eastAsia="Arial" w:hAnsi="Arial" w:cs="Arial"/>
          <w:color w:val="000000"/>
          <w:sz w:val="20"/>
          <w:szCs w:val="20"/>
        </w:rPr>
        <w:t xml:space="preserve"> one or more relevant faculty fitness to study officer/s, may:</w:t>
      </w:r>
    </w:p>
    <w:p w14:paraId="2B6B2469"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take no further action;</w:t>
      </w:r>
    </w:p>
    <w:p w14:paraId="48609A53"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refer the matter to be managed according to another policy or process;</w:t>
      </w:r>
    </w:p>
    <w:p w14:paraId="3D0D3540" w14:textId="0C0131AD" w:rsidR="00982D06" w:rsidRDefault="00D96E42" w:rsidP="4CC26AB4">
      <w:pPr>
        <w:pBdr>
          <w:left w:val="none" w:sz="0" w:space="22" w:color="auto"/>
        </w:pBdr>
        <w:spacing w:after="280" w:afterAutospacing="1"/>
        <w:rPr>
          <w:rFonts w:ascii="Arial" w:eastAsia="Arial" w:hAnsi="Arial" w:cs="Arial"/>
          <w:color w:val="000000"/>
          <w:sz w:val="20"/>
          <w:szCs w:val="20"/>
        </w:rPr>
      </w:pPr>
      <w:r w:rsidRPr="4CC26AB4">
        <w:rPr>
          <w:rFonts w:ascii="Arial" w:eastAsia="Arial" w:hAnsi="Arial" w:cs="Arial"/>
          <w:color w:val="000000" w:themeColor="text1"/>
          <w:sz w:val="20"/>
          <w:szCs w:val="20"/>
        </w:rPr>
        <w:t>(c) refer the student to an appropriate support, counselling or health service</w:t>
      </w:r>
      <w:r w:rsidR="004E23DC" w:rsidRPr="4CC26AB4">
        <w:rPr>
          <w:rFonts w:ascii="Arial" w:eastAsia="Arial" w:hAnsi="Arial" w:cs="Arial"/>
          <w:color w:val="000000" w:themeColor="text1"/>
          <w:sz w:val="20"/>
          <w:szCs w:val="20"/>
        </w:rPr>
        <w:t xml:space="preserve">, after which ongoing wellbeing assessments may be </w:t>
      </w:r>
      <w:r w:rsidR="007935C4" w:rsidRPr="4CC26AB4">
        <w:rPr>
          <w:rFonts w:ascii="Arial" w:eastAsia="Arial" w:hAnsi="Arial" w:cs="Arial"/>
          <w:color w:val="000000" w:themeColor="text1"/>
          <w:sz w:val="20"/>
          <w:szCs w:val="20"/>
        </w:rPr>
        <w:t>required</w:t>
      </w:r>
      <w:r w:rsidRPr="4CC26AB4">
        <w:rPr>
          <w:rFonts w:ascii="Arial" w:eastAsia="Arial" w:hAnsi="Arial" w:cs="Arial"/>
          <w:color w:val="000000" w:themeColor="text1"/>
          <w:sz w:val="20"/>
          <w:szCs w:val="20"/>
        </w:rPr>
        <w:t>;</w:t>
      </w:r>
    </w:p>
    <w:p w14:paraId="3EC09C9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(d) coordinate services to be provided to the student on the advice of the Fitness to Study Advisory Group; and /or</w:t>
      </w:r>
    </w:p>
    <w:p w14:paraId="7E43F324" w14:textId="6564F962"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(e) recommend to the student an adjustment of their study load, which may include taking leave from study.</w:t>
      </w:r>
    </w:p>
    <w:p w14:paraId="6DC00E06" w14:textId="2EB97273" w:rsidR="001A6B80" w:rsidRDefault="001A6B80">
      <w:pPr>
        <w:pBdr>
          <w:left w:val="none" w:sz="0" w:space="22" w:color="auto"/>
        </w:pBdr>
        <w:spacing w:after="280" w:afterAutospacing="1"/>
        <w:rPr>
          <w:rFonts w:ascii="Arial" w:eastAsia="Arial" w:hAnsi="Arial" w:cs="Arial"/>
          <w:color w:val="000000"/>
          <w:sz w:val="20"/>
          <w:szCs w:val="20"/>
        </w:rPr>
      </w:pPr>
      <w:r w:rsidRPr="306142E4">
        <w:rPr>
          <w:rFonts w:ascii="Arial" w:eastAsia="Arial" w:hAnsi="Arial" w:cs="Arial"/>
          <w:color w:val="000000" w:themeColor="text1"/>
          <w:sz w:val="20"/>
          <w:szCs w:val="20"/>
        </w:rPr>
        <w:t xml:space="preserve">(f) recommend to the student that </w:t>
      </w:r>
      <w:r w:rsidR="00582859" w:rsidRPr="001442A0">
        <w:rPr>
          <w:rFonts w:ascii="Arial" w:eastAsia="Arial" w:hAnsi="Arial" w:cs="Arial"/>
          <w:color w:val="000000" w:themeColor="text1"/>
          <w:sz w:val="20"/>
          <w:szCs w:val="20"/>
        </w:rPr>
        <w:t>where reasonable adjustments can be made to support flexible learning</w:t>
      </w:r>
      <w:r w:rsidR="006202A8">
        <w:rPr>
          <w:rFonts w:ascii="Arial" w:eastAsia="Arial" w:hAnsi="Arial" w:cs="Arial"/>
          <w:color w:val="000000" w:themeColor="text1"/>
          <w:sz w:val="20"/>
          <w:szCs w:val="20"/>
        </w:rPr>
        <w:t>,</w:t>
      </w:r>
      <w:r w:rsidR="00582859" w:rsidRPr="001442A0">
        <w:rPr>
          <w:rFonts w:ascii="Arial" w:eastAsia="Arial" w:hAnsi="Arial" w:cs="Arial"/>
          <w:color w:val="000000" w:themeColor="text1"/>
          <w:sz w:val="20"/>
          <w:szCs w:val="20"/>
        </w:rPr>
        <w:t xml:space="preserve"> including adjustments to attendance requirements, </w:t>
      </w:r>
      <w:r w:rsidRPr="306142E4">
        <w:rPr>
          <w:rFonts w:ascii="Arial" w:eastAsia="Arial" w:hAnsi="Arial" w:cs="Arial"/>
          <w:color w:val="000000" w:themeColor="text1"/>
          <w:sz w:val="20"/>
          <w:szCs w:val="20"/>
        </w:rPr>
        <w:t xml:space="preserve">they </w:t>
      </w:r>
      <w:r w:rsidR="00BD0024" w:rsidRPr="306142E4">
        <w:rPr>
          <w:rFonts w:ascii="Arial" w:eastAsia="Arial" w:hAnsi="Arial" w:cs="Arial"/>
          <w:color w:val="000000" w:themeColor="text1"/>
          <w:sz w:val="20"/>
          <w:szCs w:val="20"/>
        </w:rPr>
        <w:t xml:space="preserve">reduce the amount of time they attend the </w:t>
      </w:r>
      <w:r w:rsidR="007A5420" w:rsidRPr="306142E4">
        <w:rPr>
          <w:rFonts w:ascii="Arial" w:eastAsia="Arial" w:hAnsi="Arial" w:cs="Arial"/>
          <w:color w:val="000000" w:themeColor="text1"/>
          <w:sz w:val="20"/>
          <w:szCs w:val="20"/>
        </w:rPr>
        <w:t>University in person</w:t>
      </w:r>
      <w:r w:rsidR="0071796C">
        <w:rPr>
          <w:rFonts w:ascii="Arial" w:eastAsia="Arial" w:hAnsi="Arial" w:cs="Arial"/>
          <w:color w:val="000000" w:themeColor="text1"/>
          <w:sz w:val="20"/>
          <w:szCs w:val="20"/>
        </w:rPr>
        <w:t>.</w:t>
      </w:r>
    </w:p>
    <w:p w14:paraId="0FD3A551"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5.7. If the concern is not resolved or persists, the case coordinator must refer the matter, along with supporting documents, to the Academic Registrar.</w:t>
      </w:r>
    </w:p>
    <w:p w14:paraId="4579C401" w14:textId="77777777" w:rsidR="00982D06" w:rsidRDefault="00D96E42">
      <w:pPr>
        <w:pStyle w:val="Heading3"/>
      </w:pPr>
      <w:r>
        <w:t>Fitness to Study Committee</w:t>
      </w:r>
    </w:p>
    <w:p w14:paraId="6B614150" w14:textId="7940A622"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lastRenderedPageBreak/>
        <w:t xml:space="preserve">5.8.  Subject to </w:t>
      </w:r>
      <w:r w:rsidR="007935C4">
        <w:rPr>
          <w:rFonts w:ascii="Arial" w:eastAsia="Arial" w:hAnsi="Arial" w:cs="Arial"/>
          <w:color w:val="000000"/>
          <w:sz w:val="20"/>
          <w:szCs w:val="20"/>
        </w:rPr>
        <w:t xml:space="preserve">referral </w:t>
      </w:r>
      <w:r w:rsidR="009470C3">
        <w:rPr>
          <w:rFonts w:ascii="Arial" w:eastAsia="Arial" w:hAnsi="Arial" w:cs="Arial"/>
          <w:color w:val="000000"/>
          <w:sz w:val="20"/>
          <w:szCs w:val="20"/>
        </w:rPr>
        <w:t>from the case coordinator under 5.7 and in accordance with s</w:t>
      </w:r>
      <w:r>
        <w:rPr>
          <w:rFonts w:ascii="Arial" w:eastAsia="Arial" w:hAnsi="Arial" w:cs="Arial"/>
          <w:color w:val="000000"/>
          <w:sz w:val="20"/>
          <w:szCs w:val="20"/>
        </w:rPr>
        <w:t>ections 5.9 - 5.11, the Academic Registrar may establish a Fitness to Study Committee to advise the Academic Registrar on the matter.</w:t>
      </w:r>
    </w:p>
    <w:p w14:paraId="0D1389EF"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5.9. The Academic Registrar must not establish a Fitness to Study Committee unless the Academic Registrar is satisfied that:</w:t>
      </w:r>
    </w:p>
    <w:p w14:paraId="419F50A5"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the student has been given an opportunity to respond to concerns regarding their fitness to study;</w:t>
      </w:r>
    </w:p>
    <w:p w14:paraId="17E593F9"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where necessary, adjustments have been identified in accordance with section 40(3) of the Equal Opportunity Act 2010; and</w:t>
      </w:r>
    </w:p>
    <w:p w14:paraId="5D6A7C9D"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the concerns regarding the student’s fitness to study are not resolved or persist.</w:t>
      </w:r>
    </w:p>
    <w:p w14:paraId="593B85F9"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5.10. A Fitness to Study Committee must, whenever practicable, include —</w:t>
      </w:r>
    </w:p>
    <w:p w14:paraId="5B8F93B9"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one relevant fitness to study officer; or</w:t>
      </w:r>
    </w:p>
    <w:p w14:paraId="2E22FA1F"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one other senior member of academic staff; or</w:t>
      </w:r>
    </w:p>
    <w:p w14:paraId="0EE24FE8"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a staff member from an appropriate counselling, wellbeing or health service; and</w:t>
      </w:r>
    </w:p>
    <w:p w14:paraId="32720B8C" w14:textId="77777777" w:rsidR="00AE1AA3"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(d) two additional members, including at least one health professional who is from the Faculty of Medicine, Dentistry and Health Sciences, with skills or knowledge deemed appropriate by a relevant health professional</w:t>
      </w:r>
      <w:r w:rsidR="00AE1AA3">
        <w:rPr>
          <w:rFonts w:ascii="Arial" w:eastAsia="Arial" w:hAnsi="Arial" w:cs="Arial"/>
          <w:color w:val="000000"/>
          <w:sz w:val="20"/>
          <w:szCs w:val="20"/>
        </w:rPr>
        <w:t>; and</w:t>
      </w:r>
    </w:p>
    <w:p w14:paraId="3B65CE0A"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5.11. A Fitness to Study Committee must not include —</w:t>
      </w:r>
    </w:p>
    <w:p w14:paraId="4B9E1DDD"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a health professional who has treated or advised the student;</w:t>
      </w:r>
    </w:p>
    <w:p w14:paraId="0BEC850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the dean of the relevant faculty;</w:t>
      </w:r>
    </w:p>
    <w:p w14:paraId="0BB7F393"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the head of the relevant school or department.</w:t>
      </w:r>
    </w:p>
    <w:p w14:paraId="2B081151"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5.12. A Fitness to Study Committee —</w:t>
      </w:r>
    </w:p>
    <w:p w14:paraId="1BCFBE2A" w14:textId="40DB8F80" w:rsidR="00D50020" w:rsidRDefault="00D96E42" w:rsidP="00D50020">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(a) </w:t>
      </w:r>
      <w:r w:rsidR="00D50020">
        <w:rPr>
          <w:rFonts w:ascii="Arial" w:eastAsia="Arial" w:hAnsi="Arial" w:cs="Arial"/>
          <w:color w:val="000000"/>
          <w:sz w:val="20"/>
          <w:szCs w:val="20"/>
        </w:rPr>
        <w:t>will be chaired by a senior member of staff appointed in accordance with 5.10</w:t>
      </w:r>
      <w:r w:rsidR="00F149B7">
        <w:rPr>
          <w:rFonts w:ascii="Arial" w:eastAsia="Arial" w:hAnsi="Arial" w:cs="Arial"/>
          <w:color w:val="000000"/>
          <w:sz w:val="20"/>
          <w:szCs w:val="20"/>
        </w:rPr>
        <w:t>;</w:t>
      </w:r>
    </w:p>
    <w:p w14:paraId="6F8D0BC4" w14:textId="419B9879" w:rsidR="00982D06" w:rsidRDefault="00F149B7">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(b) </w:t>
      </w:r>
      <w:r w:rsidR="00D96E42">
        <w:rPr>
          <w:rFonts w:ascii="Arial" w:eastAsia="Arial" w:hAnsi="Arial" w:cs="Arial"/>
          <w:color w:val="000000"/>
          <w:sz w:val="20"/>
          <w:szCs w:val="20"/>
        </w:rPr>
        <w:t>must give the student concerned or their representative an opportunity to engage with the Committee in person, in writing or both;</w:t>
      </w:r>
    </w:p>
    <w:p w14:paraId="11095904" w14:textId="421CEFE0"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F149B7">
        <w:rPr>
          <w:rFonts w:ascii="Arial" w:eastAsia="Arial" w:hAnsi="Arial" w:cs="Arial"/>
          <w:color w:val="000000"/>
          <w:sz w:val="20"/>
          <w:szCs w:val="20"/>
        </w:rPr>
        <w:t>c</w:t>
      </w:r>
      <w:r>
        <w:rPr>
          <w:rFonts w:ascii="Arial" w:eastAsia="Arial" w:hAnsi="Arial" w:cs="Arial"/>
          <w:color w:val="000000"/>
          <w:sz w:val="20"/>
          <w:szCs w:val="20"/>
        </w:rPr>
        <w:t xml:space="preserve">) </w:t>
      </w:r>
      <w:r w:rsidR="00914606">
        <w:rPr>
          <w:rFonts w:ascii="Arial" w:eastAsia="Arial" w:hAnsi="Arial" w:cs="Arial"/>
          <w:color w:val="000000"/>
          <w:sz w:val="20"/>
          <w:szCs w:val="20"/>
        </w:rPr>
        <w:t>may request</w:t>
      </w:r>
      <w:r w:rsidR="00A60622">
        <w:rPr>
          <w:rFonts w:ascii="Arial" w:eastAsia="Arial" w:hAnsi="Arial" w:cs="Arial"/>
          <w:color w:val="000000"/>
          <w:sz w:val="20"/>
          <w:szCs w:val="20"/>
        </w:rPr>
        <w:t xml:space="preserve"> a</w:t>
      </w:r>
      <w:r w:rsidR="00914606">
        <w:rPr>
          <w:rFonts w:ascii="Arial" w:eastAsia="Arial" w:hAnsi="Arial" w:cs="Arial"/>
          <w:color w:val="000000"/>
          <w:sz w:val="20"/>
          <w:szCs w:val="20"/>
        </w:rPr>
        <w:t xml:space="preserve"> </w:t>
      </w:r>
      <w:r w:rsidR="00A60622">
        <w:rPr>
          <w:rFonts w:ascii="Arial" w:eastAsia="Arial" w:hAnsi="Arial" w:cs="Arial"/>
          <w:color w:val="000000"/>
          <w:sz w:val="20"/>
          <w:szCs w:val="20"/>
        </w:rPr>
        <w:t>specific</w:t>
      </w:r>
      <w:r w:rsidR="00914606">
        <w:rPr>
          <w:rFonts w:ascii="Arial" w:eastAsia="Arial" w:hAnsi="Arial" w:cs="Arial"/>
          <w:color w:val="000000"/>
          <w:sz w:val="20"/>
          <w:szCs w:val="20"/>
        </w:rPr>
        <w:t xml:space="preserve"> </w:t>
      </w:r>
      <w:r w:rsidR="00A60622">
        <w:rPr>
          <w:rFonts w:ascii="Arial" w:eastAsia="Arial" w:hAnsi="Arial" w:cs="Arial"/>
          <w:color w:val="000000"/>
          <w:sz w:val="20"/>
          <w:szCs w:val="20"/>
        </w:rPr>
        <w:t xml:space="preserve">report from a relevant health professional and </w:t>
      </w:r>
      <w:r>
        <w:rPr>
          <w:rFonts w:ascii="Arial" w:eastAsia="Arial" w:hAnsi="Arial" w:cs="Arial"/>
          <w:color w:val="000000"/>
          <w:sz w:val="20"/>
          <w:szCs w:val="20"/>
        </w:rPr>
        <w:t>must accept any medical certificate or other documentation submitted by the student concerned; and</w:t>
      </w:r>
    </w:p>
    <w:p w14:paraId="2EA896D7" w14:textId="6B2B3E10"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F149B7">
        <w:rPr>
          <w:rFonts w:ascii="Arial" w:eastAsia="Arial" w:hAnsi="Arial" w:cs="Arial"/>
          <w:color w:val="000000"/>
          <w:sz w:val="20"/>
          <w:szCs w:val="20"/>
        </w:rPr>
        <w:t>d</w:t>
      </w:r>
      <w:r>
        <w:rPr>
          <w:rFonts w:ascii="Arial" w:eastAsia="Arial" w:hAnsi="Arial" w:cs="Arial"/>
          <w:color w:val="000000"/>
          <w:sz w:val="20"/>
          <w:szCs w:val="20"/>
        </w:rPr>
        <w:t>) must allow any health professionals who have treated or advised the student to provide a report to the Committee in person, in writing or both; and</w:t>
      </w:r>
    </w:p>
    <w:p w14:paraId="14AF8C47" w14:textId="34CDDCDA"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F149B7">
        <w:rPr>
          <w:rFonts w:ascii="Arial" w:eastAsia="Arial" w:hAnsi="Arial" w:cs="Arial"/>
          <w:color w:val="000000"/>
          <w:sz w:val="20"/>
          <w:szCs w:val="20"/>
        </w:rPr>
        <w:t>e</w:t>
      </w:r>
      <w:r>
        <w:rPr>
          <w:rFonts w:ascii="Arial" w:eastAsia="Arial" w:hAnsi="Arial" w:cs="Arial"/>
          <w:color w:val="000000"/>
          <w:sz w:val="20"/>
          <w:szCs w:val="20"/>
        </w:rPr>
        <w:t xml:space="preserve">) must, where appropriate, take into account the matters specified in Section </w:t>
      </w:r>
      <w:r w:rsidR="00F06C60">
        <w:rPr>
          <w:rFonts w:ascii="Arial" w:eastAsia="Arial" w:hAnsi="Arial" w:cs="Arial"/>
          <w:color w:val="000000"/>
          <w:sz w:val="20"/>
          <w:szCs w:val="20"/>
        </w:rPr>
        <w:t>31</w:t>
      </w:r>
      <w:r>
        <w:rPr>
          <w:rFonts w:ascii="Arial" w:eastAsia="Arial" w:hAnsi="Arial" w:cs="Arial"/>
          <w:color w:val="000000"/>
          <w:sz w:val="20"/>
          <w:szCs w:val="20"/>
        </w:rPr>
        <w:t xml:space="preserve">(2) of the </w:t>
      </w:r>
      <w:hyperlink r:id="rId19" w:history="1">
        <w:r w:rsidR="00C84049" w:rsidRPr="00C84049">
          <w:rPr>
            <w:rStyle w:val="Hyperlink"/>
            <w:rFonts w:ascii="Arial" w:eastAsia="Arial" w:hAnsi="Arial" w:cs="Arial"/>
            <w:sz w:val="20"/>
            <w:szCs w:val="20"/>
          </w:rPr>
          <w:t>Vice-Chancellor’s Regulation.</w:t>
        </w:r>
      </w:hyperlink>
    </w:p>
    <w:p w14:paraId="2DA52EED" w14:textId="73F0D5FF"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F149B7">
        <w:rPr>
          <w:rFonts w:ascii="Arial" w:eastAsia="Arial" w:hAnsi="Arial" w:cs="Arial"/>
          <w:color w:val="000000"/>
          <w:sz w:val="20"/>
          <w:szCs w:val="20"/>
        </w:rPr>
        <w:t>f</w:t>
      </w:r>
      <w:r>
        <w:rPr>
          <w:rFonts w:ascii="Arial" w:eastAsia="Arial" w:hAnsi="Arial" w:cs="Arial"/>
          <w:color w:val="000000"/>
          <w:sz w:val="20"/>
          <w:szCs w:val="20"/>
        </w:rPr>
        <w:t>) may make any enquiries and consult any person, including a relevant fitness to study officer.</w:t>
      </w:r>
    </w:p>
    <w:p w14:paraId="3505F73D"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lastRenderedPageBreak/>
        <w:t>5.13. Nothing in this policy prevents the Academic Registrar or delegate from discussing a concern directly with a student, provided the student agrees, in order establish appropriate support to help the student to complete their studies.</w:t>
      </w:r>
    </w:p>
    <w:p w14:paraId="40EAC164" w14:textId="77777777" w:rsidR="00982D06" w:rsidRDefault="00D96E42">
      <w:pPr>
        <w:pStyle w:val="Heading3"/>
      </w:pPr>
      <w:r>
        <w:t>Student Notification and Response</w:t>
      </w:r>
    </w:p>
    <w:p w14:paraId="0909F831"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5.14. For a matter to be referred to a Fitness to Study Committee, the Academic Registrar must notify a student in writing:</w:t>
      </w:r>
    </w:p>
    <w:p w14:paraId="5E8321A0"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that the Academic Registrar has been alerted to concerns raised about the student’s behaviour or action;</w:t>
      </w:r>
    </w:p>
    <w:p w14:paraId="67ADEF4F"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the particulars of the student’s behaviour or actions leading to the concern;</w:t>
      </w:r>
    </w:p>
    <w:p w14:paraId="16C29107"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that the matter has been referred to a Fitness to Study Committee for consideration;</w:t>
      </w:r>
    </w:p>
    <w:p w14:paraId="41427F87" w14:textId="6ACE3505"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(d) the place or online method used, the time and date of the Fitness to Study Committee meeting, which must be no earlier than 10 </w:t>
      </w:r>
      <w:r w:rsidR="008A2D8E">
        <w:rPr>
          <w:rFonts w:ascii="Arial" w:eastAsia="Arial" w:hAnsi="Arial" w:cs="Arial"/>
          <w:color w:val="000000"/>
          <w:sz w:val="20"/>
          <w:szCs w:val="20"/>
        </w:rPr>
        <w:t xml:space="preserve">University </w:t>
      </w:r>
      <w:r>
        <w:rPr>
          <w:rFonts w:ascii="Arial" w:eastAsia="Arial" w:hAnsi="Arial" w:cs="Arial"/>
          <w:color w:val="000000"/>
          <w:sz w:val="20"/>
          <w:szCs w:val="20"/>
        </w:rPr>
        <w:t>business days from the date that the matter was raised with the Academic Registrar;</w:t>
      </w:r>
    </w:p>
    <w:p w14:paraId="2F232A8C"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(e) the student’s right to respond to the concern in advance of the Committee meeting in writing, at the meeting, or both;</w:t>
      </w:r>
    </w:p>
    <w:p w14:paraId="732401CA"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(f) the student’s right to notify the fitness to study officer that the student will be supported at the meeting by an officer of Student Union Advocacy Service; or a named support person; and</w:t>
      </w:r>
    </w:p>
    <w:p w14:paraId="4765A6C8" w14:textId="57B0D584"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(g) of this policy and the relevant sections of the </w:t>
      </w:r>
      <w:hyperlink r:id="rId20"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w:t>
      </w:r>
    </w:p>
    <w:p w14:paraId="21BC1F00"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5.15. Students may:</w:t>
      </w:r>
    </w:p>
    <w:p w14:paraId="48FDFC65"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respond to the concerns raised under section 5.14 in advance of the meeting in writing, or at the meeting, or both; and</w:t>
      </w:r>
    </w:p>
    <w:p w14:paraId="52C88DC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bring a named support person who is an officer of Student Union Advocacy Service to support the student at the meeting.</w:t>
      </w:r>
    </w:p>
    <w:p w14:paraId="72F3D206" w14:textId="77777777" w:rsidR="00982D06" w:rsidRDefault="00D96E42">
      <w:pPr>
        <w:pStyle w:val="Heading3"/>
      </w:pPr>
      <w:r>
        <w:t>Outcomes</w:t>
      </w:r>
    </w:p>
    <w:p w14:paraId="0ECD1C01" w14:textId="7A365B80"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5.16. Within two</w:t>
      </w:r>
      <w:r w:rsidR="008A2D8E">
        <w:rPr>
          <w:rFonts w:ascii="Arial" w:eastAsia="Arial" w:hAnsi="Arial" w:cs="Arial"/>
          <w:color w:val="000000"/>
          <w:sz w:val="20"/>
          <w:szCs w:val="20"/>
        </w:rPr>
        <w:t xml:space="preserve"> University</w:t>
      </w:r>
      <w:r>
        <w:rPr>
          <w:rFonts w:ascii="Arial" w:eastAsia="Arial" w:hAnsi="Arial" w:cs="Arial"/>
          <w:color w:val="000000"/>
          <w:sz w:val="20"/>
          <w:szCs w:val="20"/>
        </w:rPr>
        <w:t xml:space="preserve"> business days of the meeting, the Fitness to Study Committee (where appointed) must produce a report of their considerations on the student’s fitness to study for the Academic Registrar who may:</w:t>
      </w:r>
    </w:p>
    <w:p w14:paraId="6DB8148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allow the student to continue to study, subject to review under certain specified conditions, such as ongoing support by a qualified health professional and/or careful mentoring by a senior member of academic staff of the faculty;</w:t>
      </w:r>
    </w:p>
    <w:p w14:paraId="49F8416E"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request the student complete specific actions in a specified and reasonable time frame to demonstrate their fitness to study (e.g. undertake an action plan to resolve a specific concern);</w:t>
      </w:r>
    </w:p>
    <w:p w14:paraId="53F2F067"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recommend to the student that they take a leave of absence from studies for an agreed period to concentrate on their wellbeing and/or to resolve any specific concern, subject to review at the end of that period and demonstration, to the satisfaction of the dean, that they are fit to study;</w:t>
      </w:r>
    </w:p>
    <w:p w14:paraId="29FD7849" w14:textId="23E0CAEF"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lastRenderedPageBreak/>
        <w:t xml:space="preserve">(d) recommend to the student that they take an exit award, if one is available, in consultation with the relevant academic division and subject to compliance with the </w:t>
      </w:r>
      <w:hyperlink r:id="rId21" w:history="1">
        <w:r>
          <w:rPr>
            <w:rFonts w:ascii="Arial" w:eastAsia="Arial" w:hAnsi="Arial" w:cs="Arial"/>
            <w:color w:val="0000FF"/>
            <w:sz w:val="20"/>
            <w:szCs w:val="20"/>
            <w:u w:val="single"/>
          </w:rPr>
          <w:t>Academic Board Regulation</w:t>
        </w:r>
      </w:hyperlink>
      <w:r>
        <w:rPr>
          <w:rFonts w:ascii="Arial" w:eastAsia="Arial" w:hAnsi="Arial" w:cs="Arial"/>
          <w:color w:val="000000"/>
          <w:sz w:val="20"/>
          <w:szCs w:val="20"/>
        </w:rPr>
        <w:t xml:space="preserve"> and Policy;</w:t>
      </w:r>
    </w:p>
    <w:p w14:paraId="7BFC4C54"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(e) recommend to the student that the student voluntarily withdraw from some or all of their study; and/or</w:t>
      </w:r>
    </w:p>
    <w:p w14:paraId="19091B1E"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(f) make a recommendation to the relevant dean.</w:t>
      </w:r>
    </w:p>
    <w:p w14:paraId="0D621742" w14:textId="01D5E7A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5.17. Failure by a student to undertake any of the outcomes in 5.16 (a)–(e) is not to be actioned as student general misconduct under Part 6 of the </w:t>
      </w:r>
      <w:hyperlink r:id="rId22" w:history="1">
        <w:r>
          <w:rPr>
            <w:rFonts w:ascii="Arial" w:eastAsia="Arial" w:hAnsi="Arial" w:cs="Arial"/>
            <w:color w:val="0000FF"/>
            <w:sz w:val="20"/>
            <w:szCs w:val="20"/>
            <w:u w:val="single"/>
          </w:rPr>
          <w:t>Vice Chancellor Regulation</w:t>
        </w:r>
      </w:hyperlink>
      <w:r>
        <w:rPr>
          <w:rFonts w:ascii="Arial" w:eastAsia="Arial" w:hAnsi="Arial" w:cs="Arial"/>
          <w:i/>
          <w:iCs/>
          <w:color w:val="000000"/>
          <w:sz w:val="20"/>
          <w:szCs w:val="20"/>
        </w:rPr>
        <w:t xml:space="preserve"> </w:t>
      </w:r>
      <w:r>
        <w:rPr>
          <w:rFonts w:ascii="Arial" w:eastAsia="Arial" w:hAnsi="Arial" w:cs="Arial"/>
          <w:color w:val="000000"/>
          <w:sz w:val="20"/>
          <w:szCs w:val="20"/>
        </w:rPr>
        <w:t>but the Academic Registrar may take the failure into account in making a recommendation under Section 5.16 (f).</w:t>
      </w:r>
    </w:p>
    <w:p w14:paraId="0722EBCA" w14:textId="7B5DD7A4"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5.18. The Academic Registrar </w:t>
      </w:r>
      <w:r w:rsidR="00977C86">
        <w:rPr>
          <w:rFonts w:ascii="Arial" w:eastAsia="Arial" w:hAnsi="Arial" w:cs="Arial"/>
          <w:color w:val="000000"/>
          <w:sz w:val="20"/>
          <w:szCs w:val="20"/>
        </w:rPr>
        <w:t xml:space="preserve">must </w:t>
      </w:r>
      <w:r>
        <w:rPr>
          <w:rFonts w:ascii="Arial" w:eastAsia="Arial" w:hAnsi="Arial" w:cs="Arial"/>
          <w:color w:val="000000"/>
          <w:sz w:val="20"/>
          <w:szCs w:val="20"/>
        </w:rPr>
        <w:t>make a recommendation</w:t>
      </w:r>
      <w:r w:rsidR="00977C86">
        <w:rPr>
          <w:rFonts w:ascii="Arial" w:eastAsia="Arial" w:hAnsi="Arial" w:cs="Arial"/>
          <w:color w:val="000000"/>
          <w:sz w:val="20"/>
          <w:szCs w:val="20"/>
        </w:rPr>
        <w:t>, or recommendations,</w:t>
      </w:r>
      <w:r>
        <w:rPr>
          <w:rFonts w:ascii="Arial" w:eastAsia="Arial" w:hAnsi="Arial" w:cs="Arial"/>
          <w:color w:val="000000"/>
          <w:sz w:val="20"/>
          <w:szCs w:val="20"/>
        </w:rPr>
        <w:t xml:space="preserve"> to the relevant dean within 2 </w:t>
      </w:r>
      <w:r w:rsidR="008A2D8E">
        <w:rPr>
          <w:rFonts w:ascii="Arial" w:eastAsia="Arial" w:hAnsi="Arial" w:cs="Arial"/>
          <w:color w:val="000000"/>
          <w:sz w:val="20"/>
          <w:szCs w:val="20"/>
        </w:rPr>
        <w:t xml:space="preserve">University </w:t>
      </w:r>
      <w:r>
        <w:rPr>
          <w:rFonts w:ascii="Arial" w:eastAsia="Arial" w:hAnsi="Arial" w:cs="Arial"/>
          <w:color w:val="000000"/>
          <w:sz w:val="20"/>
          <w:szCs w:val="20"/>
        </w:rPr>
        <w:t>business days:</w:t>
      </w:r>
    </w:p>
    <w:p w14:paraId="61BC4952"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of receipt of the report of the meeting; or</w:t>
      </w:r>
    </w:p>
    <w:p w14:paraId="0F55BDB0"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of any deadline set for the student to undertake an action under 5.16 (a)–(e).</w:t>
      </w:r>
    </w:p>
    <w:p w14:paraId="675AB5D1"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5.19. On the recommendation of the Academic Registrar, a dean may:</w:t>
      </w:r>
    </w:p>
    <w:p w14:paraId="1DFE0B90"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dismiss the matter with no further action; or</w:t>
      </w:r>
    </w:p>
    <w:p w14:paraId="360E57B9" w14:textId="65F98A9F" w:rsidR="00982D06" w:rsidRDefault="00D96E42" w:rsidP="00846E0C">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in accordance with section 3</w:t>
      </w:r>
      <w:r w:rsidR="005330CD">
        <w:rPr>
          <w:rFonts w:ascii="Arial" w:eastAsia="Arial" w:hAnsi="Arial" w:cs="Arial"/>
          <w:color w:val="000000"/>
          <w:sz w:val="20"/>
          <w:szCs w:val="20"/>
        </w:rPr>
        <w:t>1</w:t>
      </w:r>
      <w:r>
        <w:rPr>
          <w:rFonts w:ascii="Arial" w:eastAsia="Arial" w:hAnsi="Arial" w:cs="Arial"/>
          <w:color w:val="000000"/>
          <w:sz w:val="20"/>
          <w:szCs w:val="20"/>
        </w:rPr>
        <w:t xml:space="preserve">(1) of the </w:t>
      </w:r>
      <w:hyperlink r:id="rId23"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 decide on an outcome</w:t>
      </w:r>
      <w:r w:rsidR="00CE44E6">
        <w:rPr>
          <w:rFonts w:ascii="Arial" w:eastAsia="Arial" w:hAnsi="Arial" w:cs="Arial"/>
          <w:color w:val="000000"/>
          <w:sz w:val="20"/>
          <w:szCs w:val="20"/>
        </w:rPr>
        <w:t>.</w:t>
      </w:r>
    </w:p>
    <w:p w14:paraId="5F4827D3" w14:textId="309CD770"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5.20. Where a student’s enrolment is changed under this policy or section 3</w:t>
      </w:r>
      <w:r w:rsidR="00672DEB">
        <w:rPr>
          <w:rFonts w:ascii="Arial" w:eastAsia="Arial" w:hAnsi="Arial" w:cs="Arial"/>
          <w:color w:val="000000"/>
          <w:sz w:val="20"/>
          <w:szCs w:val="20"/>
        </w:rPr>
        <w:t>1</w:t>
      </w:r>
      <w:r>
        <w:rPr>
          <w:rFonts w:ascii="Arial" w:eastAsia="Arial" w:hAnsi="Arial" w:cs="Arial"/>
          <w:color w:val="000000"/>
          <w:sz w:val="20"/>
          <w:szCs w:val="20"/>
        </w:rPr>
        <w:t xml:space="preserve"> of the </w:t>
      </w:r>
      <w:hyperlink r:id="rId24"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 the Academic Registrar must consider whether the student should be compensated for course or subject fees.</w:t>
      </w:r>
    </w:p>
    <w:p w14:paraId="6E2CBEC3" w14:textId="22A3D5F5"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5.21. Within 5 </w:t>
      </w:r>
      <w:r w:rsidR="008A2D8E">
        <w:rPr>
          <w:rFonts w:ascii="Arial" w:eastAsia="Arial" w:hAnsi="Arial" w:cs="Arial"/>
          <w:color w:val="000000"/>
          <w:sz w:val="20"/>
          <w:szCs w:val="20"/>
        </w:rPr>
        <w:t xml:space="preserve">University </w:t>
      </w:r>
      <w:r>
        <w:rPr>
          <w:rFonts w:ascii="Arial" w:eastAsia="Arial" w:hAnsi="Arial" w:cs="Arial"/>
          <w:color w:val="000000"/>
          <w:sz w:val="20"/>
          <w:szCs w:val="20"/>
        </w:rPr>
        <w:t>business days of receipt of the report from the Fitness to Study Committee, the Academic Registrar must notify the student of:</w:t>
      </w:r>
    </w:p>
    <w:p w14:paraId="459F3B5F"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any recommendation and / or decision taken under section 5.16 of this policy;</w:t>
      </w:r>
    </w:p>
    <w:p w14:paraId="08B58129" w14:textId="38F07FCE"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(b) any decision made by the relevant dean under section </w:t>
      </w:r>
      <w:r w:rsidR="00C41901">
        <w:rPr>
          <w:rFonts w:ascii="Arial" w:eastAsia="Arial" w:hAnsi="Arial" w:cs="Arial"/>
          <w:color w:val="000000"/>
          <w:sz w:val="20"/>
          <w:szCs w:val="20"/>
        </w:rPr>
        <w:t xml:space="preserve">31 </w:t>
      </w:r>
      <w:r>
        <w:rPr>
          <w:rFonts w:ascii="Arial" w:eastAsia="Arial" w:hAnsi="Arial" w:cs="Arial"/>
          <w:color w:val="000000"/>
          <w:sz w:val="20"/>
          <w:szCs w:val="20"/>
        </w:rPr>
        <w:t xml:space="preserve">of the </w:t>
      </w:r>
      <w:hyperlink r:id="rId25"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 and</w:t>
      </w:r>
    </w:p>
    <w:p w14:paraId="3628A69C" w14:textId="7D63C365"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(c) any right of appeal under Part 7 of the </w:t>
      </w:r>
      <w:hyperlink r:id="rId26"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w:t>
      </w:r>
    </w:p>
    <w:p w14:paraId="508C88A9" w14:textId="77777777" w:rsidR="00982D06" w:rsidRDefault="00D96E42">
      <w:pPr>
        <w:pStyle w:val="Heading3"/>
      </w:pPr>
      <w:r>
        <w:t>Return to study</w:t>
      </w:r>
    </w:p>
    <w:p w14:paraId="3A639B01" w14:textId="385FBC48"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5.22. A dean may permit </w:t>
      </w:r>
      <w:r w:rsidR="005D1A95">
        <w:rPr>
          <w:rFonts w:ascii="Arial" w:eastAsia="Arial" w:hAnsi="Arial" w:cs="Arial"/>
          <w:color w:val="000000"/>
          <w:sz w:val="20"/>
          <w:szCs w:val="20"/>
        </w:rPr>
        <w:t xml:space="preserve">a </w:t>
      </w:r>
      <w:r>
        <w:rPr>
          <w:rFonts w:ascii="Arial" w:eastAsia="Arial" w:hAnsi="Arial" w:cs="Arial"/>
          <w:color w:val="000000"/>
          <w:sz w:val="20"/>
          <w:szCs w:val="20"/>
        </w:rPr>
        <w:t xml:space="preserve">student, whose enrolment is suspended or prohibited under section </w:t>
      </w:r>
      <w:r w:rsidR="00FD0DCF">
        <w:rPr>
          <w:rFonts w:ascii="Arial" w:eastAsia="Arial" w:hAnsi="Arial" w:cs="Arial"/>
          <w:color w:val="000000"/>
          <w:sz w:val="20"/>
          <w:szCs w:val="20"/>
        </w:rPr>
        <w:t>31</w:t>
      </w:r>
      <w:r>
        <w:rPr>
          <w:rFonts w:ascii="Arial" w:eastAsia="Arial" w:hAnsi="Arial" w:cs="Arial"/>
          <w:color w:val="000000"/>
          <w:sz w:val="20"/>
          <w:szCs w:val="20"/>
        </w:rPr>
        <w:t xml:space="preserve">(1) of the </w:t>
      </w:r>
      <w:hyperlink r:id="rId27"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 to return to study where a return to study is appropriate and the dean is satisfied that the student has complied with any conditions attached to the return.</w:t>
      </w:r>
    </w:p>
    <w:p w14:paraId="1A3E4683" w14:textId="77777777" w:rsidR="00982D06" w:rsidRDefault="00D96E42">
      <w:pPr>
        <w:pStyle w:val="Heading3"/>
      </w:pPr>
      <w:r>
        <w:t>Confidentiality</w:t>
      </w:r>
    </w:p>
    <w:p w14:paraId="6223DE90"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5.23. Any person or committee who exercises any power or carries out any function under this policy or hears any appeal must treat the matter in the strictest confidence, except where necessary for the discharge of that person’s or committee’s responsibilities under to this policy or as otherwise required or permitted by law.</w:t>
      </w:r>
    </w:p>
    <w:p w14:paraId="151E2563" w14:textId="77777777" w:rsidR="00982D06" w:rsidRDefault="00D96E42">
      <w:pPr>
        <w:pStyle w:val="Heading2"/>
      </w:pPr>
      <w:r>
        <w:lastRenderedPageBreak/>
        <w:t>6. Roles and responsibilities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393"/>
        <w:gridCol w:w="2375"/>
        <w:gridCol w:w="1856"/>
      </w:tblGrid>
      <w:tr w:rsidR="00982D06" w14:paraId="2CDFF28F" w14:textId="77777777" w:rsidTr="6F2E7268">
        <w:tc>
          <w:tcPr>
            <w:tcW w:w="2547" w:type="pct"/>
            <w:tcBorders>
              <w:top w:val="outset" w:sz="6" w:space="0" w:color="auto"/>
              <w:left w:val="outset" w:sz="6" w:space="0" w:color="auto"/>
              <w:bottom w:val="outset" w:sz="6" w:space="0" w:color="auto"/>
              <w:right w:val="outset" w:sz="6" w:space="0" w:color="auto"/>
            </w:tcBorders>
          </w:tcPr>
          <w:p w14:paraId="408D1018" w14:textId="77777777" w:rsidR="00982D06" w:rsidRDefault="00D96E42">
            <w:pPr>
              <w:rPr>
                <w:rFonts w:ascii="Arial" w:eastAsia="Arial" w:hAnsi="Arial" w:cs="Arial"/>
                <w:color w:val="000000"/>
                <w:sz w:val="20"/>
                <w:szCs w:val="20"/>
              </w:rPr>
            </w:pPr>
            <w:r>
              <w:rPr>
                <w:rFonts w:ascii="Arial" w:eastAsia="Arial" w:hAnsi="Arial" w:cs="Arial"/>
                <w:b/>
                <w:bCs/>
                <w:i/>
                <w:iCs/>
                <w:color w:val="000000"/>
                <w:sz w:val="20"/>
                <w:szCs w:val="20"/>
              </w:rPr>
              <w:t>Role/Decision/Action</w:t>
            </w:r>
          </w:p>
        </w:tc>
        <w:tc>
          <w:tcPr>
            <w:tcW w:w="1377" w:type="pct"/>
            <w:tcBorders>
              <w:top w:val="outset" w:sz="6" w:space="0" w:color="auto"/>
              <w:left w:val="outset" w:sz="6" w:space="0" w:color="auto"/>
              <w:bottom w:val="outset" w:sz="6" w:space="0" w:color="auto"/>
              <w:right w:val="outset" w:sz="6" w:space="0" w:color="auto"/>
            </w:tcBorders>
          </w:tcPr>
          <w:p w14:paraId="7EAF4D58" w14:textId="77777777" w:rsidR="00982D06" w:rsidRDefault="00D96E42">
            <w:pPr>
              <w:rPr>
                <w:rFonts w:ascii="Arial" w:eastAsia="Arial" w:hAnsi="Arial" w:cs="Arial"/>
                <w:color w:val="000000"/>
                <w:sz w:val="20"/>
                <w:szCs w:val="20"/>
              </w:rPr>
            </w:pPr>
            <w:r>
              <w:rPr>
                <w:rFonts w:ascii="Arial" w:eastAsia="Arial" w:hAnsi="Arial" w:cs="Arial"/>
                <w:b/>
                <w:bCs/>
                <w:i/>
                <w:iCs/>
                <w:color w:val="000000"/>
                <w:sz w:val="20"/>
                <w:szCs w:val="20"/>
              </w:rPr>
              <w:t>Responsibility</w:t>
            </w:r>
          </w:p>
        </w:tc>
        <w:tc>
          <w:tcPr>
            <w:tcW w:w="1076" w:type="pct"/>
            <w:tcBorders>
              <w:top w:val="outset" w:sz="6" w:space="0" w:color="auto"/>
              <w:left w:val="outset" w:sz="6" w:space="0" w:color="auto"/>
              <w:bottom w:val="outset" w:sz="6" w:space="0" w:color="auto"/>
              <w:right w:val="outset" w:sz="6" w:space="0" w:color="auto"/>
            </w:tcBorders>
          </w:tcPr>
          <w:p w14:paraId="26372700" w14:textId="77777777" w:rsidR="00982D06" w:rsidRDefault="00D96E42">
            <w:pPr>
              <w:rPr>
                <w:rFonts w:ascii="Arial" w:eastAsia="Arial" w:hAnsi="Arial" w:cs="Arial"/>
                <w:color w:val="000000"/>
                <w:sz w:val="20"/>
                <w:szCs w:val="20"/>
              </w:rPr>
            </w:pPr>
            <w:r>
              <w:rPr>
                <w:rFonts w:ascii="Arial" w:eastAsia="Arial" w:hAnsi="Arial" w:cs="Arial"/>
                <w:b/>
                <w:bCs/>
                <w:i/>
                <w:iCs/>
                <w:color w:val="000000"/>
                <w:sz w:val="20"/>
                <w:szCs w:val="20"/>
              </w:rPr>
              <w:t>Conditions and limitations</w:t>
            </w:r>
          </w:p>
        </w:tc>
      </w:tr>
      <w:tr w:rsidR="00982D06" w14:paraId="5DBCBC22" w14:textId="77777777" w:rsidTr="6F2E7268">
        <w:tc>
          <w:tcPr>
            <w:tcW w:w="2547" w:type="pct"/>
            <w:tcBorders>
              <w:top w:val="outset" w:sz="6" w:space="0" w:color="auto"/>
              <w:left w:val="outset" w:sz="6" w:space="0" w:color="auto"/>
              <w:bottom w:val="outset" w:sz="6" w:space="0" w:color="auto"/>
              <w:right w:val="outset" w:sz="6" w:space="0" w:color="auto"/>
            </w:tcBorders>
          </w:tcPr>
          <w:p w14:paraId="26691D56" w14:textId="38ABADA5"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Receives concerns about </w:t>
            </w:r>
            <w:r w:rsidR="00D53097">
              <w:rPr>
                <w:rFonts w:ascii="Arial" w:eastAsia="Arial" w:hAnsi="Arial" w:cs="Arial"/>
                <w:color w:val="000000"/>
                <w:sz w:val="20"/>
                <w:szCs w:val="20"/>
              </w:rPr>
              <w:t xml:space="preserve">a </w:t>
            </w:r>
            <w:r>
              <w:rPr>
                <w:rFonts w:ascii="Arial" w:eastAsia="Arial" w:hAnsi="Arial" w:cs="Arial"/>
                <w:color w:val="000000"/>
                <w:sz w:val="20"/>
                <w:szCs w:val="20"/>
              </w:rPr>
              <w:t xml:space="preserve">student’s </w:t>
            </w:r>
            <w:r w:rsidR="00D53097">
              <w:rPr>
                <w:rFonts w:ascii="Arial" w:eastAsia="Arial" w:hAnsi="Arial" w:cs="Arial"/>
                <w:color w:val="000000"/>
                <w:sz w:val="20"/>
                <w:szCs w:val="20"/>
              </w:rPr>
              <w:t>conduct</w:t>
            </w:r>
          </w:p>
          <w:p w14:paraId="2C014744" w14:textId="7B24C36F" w:rsidR="00C9164D" w:rsidRPr="00C9164D" w:rsidRDefault="00C9164D" w:rsidP="00C9164D">
            <w:pPr>
              <w:numPr>
                <w:ilvl w:val="0"/>
                <w:numId w:val="1"/>
              </w:numPr>
              <w:rPr>
                <w:rFonts w:ascii="Arial" w:eastAsia="Arial" w:hAnsi="Arial" w:cs="Arial"/>
                <w:color w:val="000000"/>
                <w:sz w:val="20"/>
                <w:szCs w:val="20"/>
              </w:rPr>
            </w:pPr>
            <w:r w:rsidRPr="00F669CC">
              <w:rPr>
                <w:rFonts w:ascii="Arial" w:eastAsia="Arial" w:hAnsi="Arial" w:cs="Arial"/>
                <w:color w:val="000000"/>
                <w:sz w:val="20"/>
                <w:szCs w:val="20"/>
              </w:rPr>
              <w:t>Refers matter to another process and/or support services</w:t>
            </w:r>
          </w:p>
          <w:p w14:paraId="2997275D" w14:textId="60ACCD6F"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Nominates a </w:t>
            </w:r>
            <w:r w:rsidR="008C01D0">
              <w:rPr>
                <w:rFonts w:ascii="Arial" w:eastAsia="Arial" w:hAnsi="Arial" w:cs="Arial"/>
                <w:color w:val="000000"/>
                <w:sz w:val="20"/>
                <w:szCs w:val="20"/>
              </w:rPr>
              <w:t>c</w:t>
            </w:r>
            <w:r>
              <w:rPr>
                <w:rFonts w:ascii="Arial" w:eastAsia="Arial" w:hAnsi="Arial" w:cs="Arial"/>
                <w:color w:val="000000"/>
                <w:sz w:val="20"/>
                <w:szCs w:val="20"/>
              </w:rPr>
              <w:t xml:space="preserve">ase </w:t>
            </w:r>
            <w:r w:rsidR="008C01D0">
              <w:rPr>
                <w:rFonts w:ascii="Arial" w:eastAsia="Arial" w:hAnsi="Arial" w:cs="Arial"/>
                <w:color w:val="000000"/>
                <w:sz w:val="20"/>
                <w:szCs w:val="20"/>
              </w:rPr>
              <w:t>c</w:t>
            </w:r>
            <w:r>
              <w:rPr>
                <w:rFonts w:ascii="Arial" w:eastAsia="Arial" w:hAnsi="Arial" w:cs="Arial"/>
                <w:color w:val="000000"/>
                <w:sz w:val="20"/>
                <w:szCs w:val="20"/>
              </w:rPr>
              <w:t>oordinator</w:t>
            </w:r>
            <w:r w:rsidR="00241073">
              <w:rPr>
                <w:rFonts w:ascii="Arial" w:eastAsia="Arial" w:hAnsi="Arial" w:cs="Arial"/>
                <w:color w:val="000000"/>
                <w:sz w:val="20"/>
                <w:szCs w:val="20"/>
              </w:rPr>
              <w:t xml:space="preserve"> </w:t>
            </w:r>
            <w:r w:rsidR="00241073" w:rsidRPr="00F669CC">
              <w:rPr>
                <w:rFonts w:ascii="Arial" w:eastAsia="Arial" w:hAnsi="Arial" w:cs="Arial"/>
                <w:color w:val="000000"/>
                <w:sz w:val="20"/>
                <w:szCs w:val="20"/>
              </w:rPr>
              <w:t xml:space="preserve">if </w:t>
            </w:r>
            <w:r w:rsidR="00CB4A4E">
              <w:rPr>
                <w:rFonts w:ascii="Arial" w:eastAsia="Arial" w:hAnsi="Arial" w:cs="Arial"/>
                <w:color w:val="000000"/>
                <w:sz w:val="20"/>
                <w:szCs w:val="20"/>
              </w:rPr>
              <w:t>concern</w:t>
            </w:r>
            <w:r w:rsidR="00241073">
              <w:rPr>
                <w:rFonts w:ascii="Arial" w:eastAsia="Arial" w:hAnsi="Arial" w:cs="Arial"/>
                <w:color w:val="000000"/>
                <w:sz w:val="20"/>
                <w:szCs w:val="20"/>
              </w:rPr>
              <w:t xml:space="preserve"> is a </w:t>
            </w:r>
            <w:r w:rsidR="00241073" w:rsidRPr="00F669CC">
              <w:rPr>
                <w:rFonts w:ascii="Arial" w:eastAsia="Arial" w:hAnsi="Arial" w:cs="Arial"/>
                <w:color w:val="000000"/>
                <w:sz w:val="20"/>
                <w:szCs w:val="20"/>
              </w:rPr>
              <w:t>potential fitness to study issue</w:t>
            </w:r>
          </w:p>
          <w:p w14:paraId="423D7D31" w14:textId="1C9D125B"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Establishes </w:t>
            </w:r>
            <w:r w:rsidR="00241073">
              <w:rPr>
                <w:rFonts w:ascii="Arial" w:eastAsia="Arial" w:hAnsi="Arial" w:cs="Arial"/>
                <w:color w:val="000000"/>
                <w:sz w:val="20"/>
                <w:szCs w:val="20"/>
              </w:rPr>
              <w:t xml:space="preserve">a </w:t>
            </w:r>
            <w:r>
              <w:rPr>
                <w:rFonts w:ascii="Arial" w:eastAsia="Arial" w:hAnsi="Arial" w:cs="Arial"/>
                <w:color w:val="000000"/>
                <w:sz w:val="20"/>
                <w:szCs w:val="20"/>
              </w:rPr>
              <w:t>Fitness to Study Advisory Group and</w:t>
            </w:r>
            <w:r w:rsidR="00045124">
              <w:rPr>
                <w:rFonts w:ascii="Arial" w:eastAsia="Arial" w:hAnsi="Arial" w:cs="Arial"/>
                <w:color w:val="000000"/>
                <w:sz w:val="20"/>
                <w:szCs w:val="20"/>
              </w:rPr>
              <w:t xml:space="preserve">, if the matter is not resolved with the provision of appropriate supports, establishes a </w:t>
            </w:r>
            <w:r>
              <w:rPr>
                <w:rFonts w:ascii="Arial" w:eastAsia="Arial" w:hAnsi="Arial" w:cs="Arial"/>
                <w:color w:val="000000"/>
                <w:sz w:val="20"/>
                <w:szCs w:val="20"/>
              </w:rPr>
              <w:t>Fitness to Study Committee</w:t>
            </w:r>
          </w:p>
          <w:p w14:paraId="4BF88EE0" w14:textId="1403D949"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Ensures student </w:t>
            </w:r>
            <w:r w:rsidR="00045124">
              <w:rPr>
                <w:rFonts w:ascii="Arial" w:eastAsia="Arial" w:hAnsi="Arial" w:cs="Arial"/>
                <w:color w:val="000000"/>
                <w:sz w:val="20"/>
                <w:szCs w:val="20"/>
              </w:rPr>
              <w:t xml:space="preserve">receives timely </w:t>
            </w:r>
            <w:r>
              <w:rPr>
                <w:rFonts w:ascii="Arial" w:eastAsia="Arial" w:hAnsi="Arial" w:cs="Arial"/>
                <w:color w:val="000000"/>
                <w:sz w:val="20"/>
                <w:szCs w:val="20"/>
              </w:rPr>
              <w:t>notification of meeting</w:t>
            </w:r>
            <w:r w:rsidR="00045124">
              <w:rPr>
                <w:rFonts w:ascii="Arial" w:eastAsia="Arial" w:hAnsi="Arial" w:cs="Arial"/>
                <w:color w:val="000000"/>
                <w:sz w:val="20"/>
                <w:szCs w:val="20"/>
              </w:rPr>
              <w:t>s</w:t>
            </w:r>
          </w:p>
          <w:p w14:paraId="72B38282" w14:textId="063FB4F1" w:rsidR="00030EE2" w:rsidRPr="00030EE2" w:rsidRDefault="00030EE2" w:rsidP="00030EE2">
            <w:pPr>
              <w:numPr>
                <w:ilvl w:val="0"/>
                <w:numId w:val="1"/>
              </w:numPr>
              <w:rPr>
                <w:rFonts w:ascii="Arial" w:eastAsia="Arial" w:hAnsi="Arial" w:cs="Arial"/>
                <w:color w:val="000000"/>
                <w:sz w:val="20"/>
                <w:szCs w:val="20"/>
              </w:rPr>
            </w:pPr>
            <w:r>
              <w:rPr>
                <w:rFonts w:ascii="Arial" w:eastAsia="Arial" w:hAnsi="Arial" w:cs="Arial"/>
                <w:color w:val="000000"/>
                <w:sz w:val="20"/>
                <w:szCs w:val="20"/>
              </w:rPr>
              <w:t>Considers advice and supporting documentation from the case coordinator and if appropriate establishes a Fitness to Study Committee to advise the Academic Registrar on the matter</w:t>
            </w:r>
          </w:p>
          <w:p w14:paraId="198E0B8F" w14:textId="77777777"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Makes recommendations based on a report from a Fitness to Study Committee</w:t>
            </w:r>
          </w:p>
          <w:p w14:paraId="795E1ACD" w14:textId="2AF01CAD"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Ensures the student is informed of outcome of the meeting of a Fitness to Study Committee</w:t>
            </w:r>
            <w:r w:rsidR="00B36290">
              <w:rPr>
                <w:rFonts w:ascii="Arial" w:eastAsia="Arial" w:hAnsi="Arial" w:cs="Arial"/>
                <w:color w:val="000000"/>
                <w:sz w:val="20"/>
                <w:szCs w:val="20"/>
              </w:rPr>
              <w:t>,</w:t>
            </w:r>
            <w:r>
              <w:rPr>
                <w:rFonts w:ascii="Arial" w:eastAsia="Arial" w:hAnsi="Arial" w:cs="Arial"/>
                <w:color w:val="000000"/>
                <w:sz w:val="20"/>
                <w:szCs w:val="20"/>
              </w:rPr>
              <w:t xml:space="preserve"> and any decision by the dean</w:t>
            </w:r>
            <w:r w:rsidR="00B36290">
              <w:rPr>
                <w:rFonts w:ascii="Arial" w:eastAsia="Arial" w:hAnsi="Arial" w:cs="Arial"/>
                <w:color w:val="000000"/>
                <w:sz w:val="20"/>
                <w:szCs w:val="20"/>
              </w:rPr>
              <w:t xml:space="preserve"> in relation to a return to study plan</w:t>
            </w:r>
          </w:p>
          <w:p w14:paraId="014F9D1D" w14:textId="45CDE765" w:rsidR="00982D06" w:rsidRDefault="00117E4C">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Consults with the Fitness to Study Committee o9n </w:t>
            </w:r>
            <w:r w:rsidR="00D96E42">
              <w:rPr>
                <w:rFonts w:ascii="Arial" w:eastAsia="Arial" w:hAnsi="Arial" w:cs="Arial"/>
                <w:color w:val="000000"/>
                <w:sz w:val="20"/>
                <w:szCs w:val="20"/>
              </w:rPr>
              <w:t>whether a student has complied with conditions to return in study.</w:t>
            </w:r>
          </w:p>
          <w:p w14:paraId="225E75BC" w14:textId="5D94E929" w:rsidR="00117E4C" w:rsidRPr="00117E4C" w:rsidRDefault="00117E4C" w:rsidP="00117E4C">
            <w:pPr>
              <w:numPr>
                <w:ilvl w:val="0"/>
                <w:numId w:val="1"/>
              </w:numPr>
              <w:rPr>
                <w:rFonts w:ascii="Arial" w:eastAsia="Arial" w:hAnsi="Arial" w:cs="Arial"/>
                <w:color w:val="000000"/>
                <w:sz w:val="20"/>
                <w:szCs w:val="20"/>
              </w:rPr>
            </w:pPr>
            <w:r>
              <w:rPr>
                <w:rFonts w:ascii="Arial" w:eastAsia="Arial" w:hAnsi="Arial" w:cs="Arial"/>
                <w:color w:val="000000"/>
                <w:sz w:val="20"/>
                <w:szCs w:val="20"/>
              </w:rPr>
              <w:t>Informs student of decision of the dean and appeal rights</w:t>
            </w:r>
          </w:p>
        </w:tc>
        <w:tc>
          <w:tcPr>
            <w:tcW w:w="1377" w:type="pct"/>
            <w:tcBorders>
              <w:top w:val="outset" w:sz="6" w:space="0" w:color="auto"/>
              <w:left w:val="outset" w:sz="6" w:space="0" w:color="auto"/>
              <w:bottom w:val="outset" w:sz="6" w:space="0" w:color="auto"/>
              <w:right w:val="outset" w:sz="6" w:space="0" w:color="auto"/>
            </w:tcBorders>
          </w:tcPr>
          <w:p w14:paraId="1CD76665"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Academic Registrar</w:t>
            </w:r>
          </w:p>
        </w:tc>
        <w:tc>
          <w:tcPr>
            <w:tcW w:w="1076" w:type="pct"/>
            <w:tcBorders>
              <w:top w:val="outset" w:sz="6" w:space="0" w:color="auto"/>
              <w:left w:val="outset" w:sz="6" w:space="0" w:color="auto"/>
              <w:bottom w:val="outset" w:sz="6" w:space="0" w:color="auto"/>
              <w:right w:val="outset" w:sz="6" w:space="0" w:color="auto"/>
            </w:tcBorders>
          </w:tcPr>
          <w:p w14:paraId="0E7FF3E8"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In accordance with this policy</w:t>
            </w:r>
          </w:p>
        </w:tc>
      </w:tr>
      <w:tr w:rsidR="00982D06" w14:paraId="1D710183" w14:textId="77777777" w:rsidTr="6F2E7268">
        <w:tc>
          <w:tcPr>
            <w:tcW w:w="2547" w:type="pct"/>
            <w:tcBorders>
              <w:top w:val="outset" w:sz="6" w:space="0" w:color="auto"/>
              <w:left w:val="outset" w:sz="6" w:space="0" w:color="auto"/>
              <w:bottom w:val="outset" w:sz="6" w:space="0" w:color="auto"/>
              <w:right w:val="outset" w:sz="6" w:space="0" w:color="auto"/>
            </w:tcBorders>
          </w:tcPr>
          <w:p w14:paraId="35D861B0" w14:textId="6CD6F691" w:rsidR="005B6A7B" w:rsidRDefault="005B6A7B" w:rsidP="0097103F">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Received advice from the Academic Registrar related to a </w:t>
            </w:r>
            <w:r w:rsidR="00CB4A4E">
              <w:rPr>
                <w:rFonts w:ascii="Arial" w:eastAsia="Arial" w:hAnsi="Arial" w:cs="Arial"/>
                <w:color w:val="000000"/>
                <w:sz w:val="20"/>
                <w:szCs w:val="20"/>
              </w:rPr>
              <w:t xml:space="preserve">fitness to study </w:t>
            </w:r>
            <w:r>
              <w:rPr>
                <w:rFonts w:ascii="Arial" w:eastAsia="Arial" w:hAnsi="Arial" w:cs="Arial"/>
                <w:color w:val="000000"/>
                <w:sz w:val="20"/>
                <w:szCs w:val="20"/>
              </w:rPr>
              <w:t>concern</w:t>
            </w:r>
          </w:p>
          <w:p w14:paraId="325722EC" w14:textId="1588A2C0" w:rsidR="0097103F" w:rsidRPr="0097103F" w:rsidRDefault="0097103F" w:rsidP="0097103F">
            <w:pPr>
              <w:numPr>
                <w:ilvl w:val="0"/>
                <w:numId w:val="2"/>
              </w:numPr>
              <w:rPr>
                <w:rFonts w:ascii="Arial" w:eastAsia="Arial" w:hAnsi="Arial" w:cs="Arial"/>
                <w:color w:val="000000"/>
                <w:sz w:val="20"/>
                <w:szCs w:val="20"/>
              </w:rPr>
            </w:pPr>
            <w:r>
              <w:rPr>
                <w:rFonts w:ascii="Arial" w:eastAsia="Arial" w:hAnsi="Arial" w:cs="Arial"/>
                <w:color w:val="000000"/>
                <w:sz w:val="20"/>
                <w:szCs w:val="20"/>
              </w:rPr>
              <w:t>Liaises with Fitness to Study Officer or Faculty Wellbeing Officer</w:t>
            </w:r>
            <w:r w:rsidR="004F1099">
              <w:rPr>
                <w:rFonts w:ascii="Arial" w:eastAsia="Arial" w:hAnsi="Arial" w:cs="Arial"/>
                <w:color w:val="000000"/>
                <w:sz w:val="20"/>
                <w:szCs w:val="20"/>
              </w:rPr>
              <w:t>,</w:t>
            </w:r>
            <w:r w:rsidR="003D2A3D">
              <w:rPr>
                <w:rFonts w:ascii="Arial" w:eastAsia="Arial" w:hAnsi="Arial" w:cs="Arial"/>
                <w:color w:val="000000"/>
                <w:sz w:val="20"/>
                <w:szCs w:val="20"/>
              </w:rPr>
              <w:t xml:space="preserve"> or Student Accom</w:t>
            </w:r>
            <w:r w:rsidR="004F1099">
              <w:rPr>
                <w:rFonts w:ascii="Arial" w:eastAsia="Arial" w:hAnsi="Arial" w:cs="Arial"/>
                <w:color w:val="000000"/>
                <w:sz w:val="20"/>
                <w:szCs w:val="20"/>
              </w:rPr>
              <w:t>m</w:t>
            </w:r>
            <w:r w:rsidR="003D2A3D">
              <w:rPr>
                <w:rFonts w:ascii="Arial" w:eastAsia="Arial" w:hAnsi="Arial" w:cs="Arial"/>
                <w:color w:val="000000"/>
                <w:sz w:val="20"/>
                <w:szCs w:val="20"/>
              </w:rPr>
              <w:t>o</w:t>
            </w:r>
            <w:r w:rsidR="004F1099">
              <w:rPr>
                <w:rFonts w:ascii="Arial" w:eastAsia="Arial" w:hAnsi="Arial" w:cs="Arial"/>
                <w:color w:val="000000"/>
                <w:sz w:val="20"/>
                <w:szCs w:val="20"/>
              </w:rPr>
              <w:t>dation Manager where relevant.</w:t>
            </w:r>
          </w:p>
          <w:p w14:paraId="2C8A4EAD" w14:textId="77166CC1" w:rsidR="00982D06" w:rsidRDefault="00D96E42">
            <w:pPr>
              <w:numPr>
                <w:ilvl w:val="0"/>
                <w:numId w:val="2"/>
              </w:numPr>
              <w:rPr>
                <w:rFonts w:ascii="Arial" w:eastAsia="Arial" w:hAnsi="Arial" w:cs="Arial"/>
                <w:color w:val="000000"/>
                <w:sz w:val="20"/>
                <w:szCs w:val="20"/>
              </w:rPr>
            </w:pPr>
            <w:r>
              <w:rPr>
                <w:rFonts w:ascii="Arial" w:eastAsia="Arial" w:hAnsi="Arial" w:cs="Arial"/>
                <w:color w:val="000000"/>
                <w:sz w:val="20"/>
                <w:szCs w:val="20"/>
              </w:rPr>
              <w:t>Discusses fitness to study concerns with the student involved</w:t>
            </w:r>
          </w:p>
          <w:p w14:paraId="50F91305" w14:textId="77777777" w:rsidR="00982D06" w:rsidRDefault="00D96E42">
            <w:pPr>
              <w:numPr>
                <w:ilvl w:val="0"/>
                <w:numId w:val="2"/>
              </w:numPr>
              <w:rPr>
                <w:rFonts w:ascii="Arial" w:eastAsia="Arial" w:hAnsi="Arial" w:cs="Arial"/>
                <w:color w:val="000000"/>
                <w:sz w:val="20"/>
                <w:szCs w:val="20"/>
              </w:rPr>
            </w:pPr>
            <w:r>
              <w:rPr>
                <w:rFonts w:ascii="Arial" w:eastAsia="Arial" w:hAnsi="Arial" w:cs="Arial"/>
                <w:color w:val="000000"/>
                <w:sz w:val="20"/>
                <w:szCs w:val="20"/>
              </w:rPr>
              <w:t>Explores with the student the nature of the behaviour that is the focus of the concerns</w:t>
            </w:r>
          </w:p>
          <w:p w14:paraId="7E5B8E4A" w14:textId="77777777" w:rsidR="00982D06" w:rsidRDefault="00D96E42">
            <w:pPr>
              <w:numPr>
                <w:ilvl w:val="0"/>
                <w:numId w:val="2"/>
              </w:numPr>
              <w:rPr>
                <w:rFonts w:ascii="Arial" w:eastAsia="Arial" w:hAnsi="Arial" w:cs="Arial"/>
                <w:color w:val="000000"/>
                <w:sz w:val="20"/>
                <w:szCs w:val="20"/>
              </w:rPr>
            </w:pPr>
            <w:r>
              <w:rPr>
                <w:rFonts w:ascii="Arial" w:eastAsia="Arial" w:hAnsi="Arial" w:cs="Arial"/>
                <w:color w:val="000000"/>
                <w:sz w:val="20"/>
                <w:szCs w:val="20"/>
              </w:rPr>
              <w:t>Identifies existing support and adjustments that may be provided to the student in order to address the concern</w:t>
            </w:r>
          </w:p>
          <w:p w14:paraId="0DA4D3BA" w14:textId="1EE4ADF4" w:rsidR="00D465E5" w:rsidRPr="00D465E5" w:rsidRDefault="00D465E5" w:rsidP="00D465E5">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Seeks </w:t>
            </w:r>
            <w:r w:rsidRPr="00F669CC">
              <w:rPr>
                <w:rFonts w:ascii="Arial" w:eastAsia="Arial" w:hAnsi="Arial" w:cs="Arial"/>
                <w:color w:val="000000"/>
                <w:sz w:val="20"/>
                <w:szCs w:val="20"/>
              </w:rPr>
              <w:t>advice on reasonable adjustments</w:t>
            </w:r>
          </w:p>
          <w:p w14:paraId="450FE0E1" w14:textId="77777777" w:rsidR="00982D06" w:rsidRDefault="00D96E42">
            <w:pPr>
              <w:numPr>
                <w:ilvl w:val="0"/>
                <w:numId w:val="2"/>
              </w:numPr>
              <w:rPr>
                <w:rFonts w:ascii="Arial" w:eastAsia="Arial" w:hAnsi="Arial" w:cs="Arial"/>
                <w:color w:val="000000"/>
                <w:sz w:val="20"/>
                <w:szCs w:val="20"/>
              </w:rPr>
            </w:pPr>
            <w:r>
              <w:rPr>
                <w:rFonts w:ascii="Arial" w:eastAsia="Arial" w:hAnsi="Arial" w:cs="Arial"/>
                <w:color w:val="000000"/>
                <w:sz w:val="20"/>
                <w:szCs w:val="20"/>
              </w:rPr>
              <w:t>Seeks advice from the Fitness to Study Advisory Group and the relevant faculty officer/s</w:t>
            </w:r>
          </w:p>
        </w:tc>
        <w:tc>
          <w:tcPr>
            <w:tcW w:w="1377" w:type="pct"/>
            <w:tcBorders>
              <w:top w:val="outset" w:sz="6" w:space="0" w:color="auto"/>
              <w:left w:val="outset" w:sz="6" w:space="0" w:color="auto"/>
              <w:bottom w:val="outset" w:sz="6" w:space="0" w:color="auto"/>
              <w:right w:val="outset" w:sz="6" w:space="0" w:color="auto"/>
            </w:tcBorders>
          </w:tcPr>
          <w:p w14:paraId="0D3303CA" w14:textId="48E3523E" w:rsidR="00982D06" w:rsidRDefault="00D96E42">
            <w:pPr>
              <w:rPr>
                <w:rFonts w:ascii="Arial" w:eastAsia="Arial" w:hAnsi="Arial" w:cs="Arial"/>
                <w:color w:val="000000"/>
                <w:sz w:val="20"/>
                <w:szCs w:val="20"/>
              </w:rPr>
            </w:pPr>
            <w:r w:rsidRPr="6F2E7268">
              <w:rPr>
                <w:rFonts w:ascii="Arial" w:eastAsia="Arial" w:hAnsi="Arial" w:cs="Arial"/>
                <w:color w:val="000000" w:themeColor="text1"/>
                <w:sz w:val="20"/>
                <w:szCs w:val="20"/>
              </w:rPr>
              <w:t xml:space="preserve">Case </w:t>
            </w:r>
            <w:r w:rsidR="1DD33E97" w:rsidRPr="6F2E7268">
              <w:rPr>
                <w:rFonts w:ascii="Arial" w:eastAsia="Arial" w:hAnsi="Arial" w:cs="Arial"/>
                <w:color w:val="000000" w:themeColor="text1"/>
                <w:sz w:val="20"/>
                <w:szCs w:val="20"/>
              </w:rPr>
              <w:t>Coordinator</w:t>
            </w:r>
            <w:r w:rsidR="00A70ABA">
              <w:rPr>
                <w:rFonts w:ascii="Arial" w:eastAsia="Arial" w:hAnsi="Arial" w:cs="Arial"/>
                <w:color w:val="000000" w:themeColor="text1"/>
                <w:sz w:val="20"/>
                <w:szCs w:val="20"/>
              </w:rPr>
              <w:t xml:space="preserve"> </w:t>
            </w:r>
            <w:r w:rsidR="00A70ABA">
              <w:rPr>
                <w:rFonts w:ascii="Arial" w:eastAsia="Arial" w:hAnsi="Arial" w:cs="Arial"/>
                <w:color w:val="000000"/>
                <w:sz w:val="20"/>
                <w:szCs w:val="20"/>
              </w:rPr>
              <w:t>(who may also be the Fitness to Study Officer)</w:t>
            </w:r>
          </w:p>
        </w:tc>
        <w:tc>
          <w:tcPr>
            <w:tcW w:w="1076" w:type="pct"/>
            <w:tcBorders>
              <w:top w:val="outset" w:sz="6" w:space="0" w:color="auto"/>
              <w:left w:val="outset" w:sz="6" w:space="0" w:color="auto"/>
              <w:bottom w:val="outset" w:sz="6" w:space="0" w:color="auto"/>
              <w:right w:val="outset" w:sz="6" w:space="0" w:color="auto"/>
            </w:tcBorders>
          </w:tcPr>
          <w:p w14:paraId="79250D02"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In accordance with this policy</w:t>
            </w:r>
          </w:p>
        </w:tc>
      </w:tr>
      <w:tr w:rsidR="00982D06" w14:paraId="20AB453C" w14:textId="77777777" w:rsidTr="6F2E7268">
        <w:tc>
          <w:tcPr>
            <w:tcW w:w="2547" w:type="pct"/>
            <w:tcBorders>
              <w:top w:val="outset" w:sz="6" w:space="0" w:color="auto"/>
              <w:left w:val="outset" w:sz="6" w:space="0" w:color="auto"/>
              <w:bottom w:val="outset" w:sz="6" w:space="0" w:color="auto"/>
              <w:right w:val="outset" w:sz="6" w:space="0" w:color="auto"/>
            </w:tcBorders>
          </w:tcPr>
          <w:p w14:paraId="1353B4C4" w14:textId="77777777" w:rsidR="00982D06" w:rsidRDefault="00D96E42">
            <w:pPr>
              <w:numPr>
                <w:ilvl w:val="0"/>
                <w:numId w:val="3"/>
              </w:numPr>
              <w:rPr>
                <w:rFonts w:ascii="Arial" w:eastAsia="Arial" w:hAnsi="Arial" w:cs="Arial"/>
                <w:color w:val="000000"/>
                <w:sz w:val="20"/>
                <w:szCs w:val="20"/>
              </w:rPr>
            </w:pPr>
            <w:r>
              <w:rPr>
                <w:rFonts w:ascii="Arial" w:eastAsia="Arial" w:hAnsi="Arial" w:cs="Arial"/>
                <w:color w:val="000000"/>
                <w:sz w:val="20"/>
                <w:szCs w:val="20"/>
              </w:rPr>
              <w:lastRenderedPageBreak/>
              <w:t>Provides advice to the case coordinator and Advisory Group on fitness to study concerns</w:t>
            </w:r>
          </w:p>
        </w:tc>
        <w:tc>
          <w:tcPr>
            <w:tcW w:w="1377" w:type="pct"/>
            <w:tcBorders>
              <w:top w:val="outset" w:sz="6" w:space="0" w:color="auto"/>
              <w:left w:val="outset" w:sz="6" w:space="0" w:color="auto"/>
              <w:bottom w:val="outset" w:sz="6" w:space="0" w:color="auto"/>
              <w:right w:val="outset" w:sz="6" w:space="0" w:color="auto"/>
            </w:tcBorders>
          </w:tcPr>
          <w:p w14:paraId="0D4A8332" w14:textId="321C3BCE" w:rsidR="00982D06" w:rsidRDefault="00D96E42">
            <w:pPr>
              <w:rPr>
                <w:rFonts w:ascii="Arial" w:eastAsia="Arial" w:hAnsi="Arial" w:cs="Arial"/>
                <w:color w:val="000000"/>
                <w:sz w:val="20"/>
                <w:szCs w:val="20"/>
              </w:rPr>
            </w:pPr>
            <w:r>
              <w:rPr>
                <w:rFonts w:ascii="Arial" w:eastAsia="Arial" w:hAnsi="Arial" w:cs="Arial"/>
                <w:color w:val="000000"/>
                <w:sz w:val="20"/>
                <w:szCs w:val="20"/>
              </w:rPr>
              <w:t xml:space="preserve">Faculty </w:t>
            </w:r>
            <w:r w:rsidR="00A70ABA">
              <w:rPr>
                <w:rFonts w:ascii="Arial" w:eastAsia="Arial" w:hAnsi="Arial" w:cs="Arial"/>
                <w:color w:val="000000"/>
                <w:sz w:val="20"/>
                <w:szCs w:val="20"/>
              </w:rPr>
              <w:t>F</w:t>
            </w:r>
            <w:r>
              <w:rPr>
                <w:rFonts w:ascii="Arial" w:eastAsia="Arial" w:hAnsi="Arial" w:cs="Arial"/>
                <w:color w:val="000000"/>
                <w:sz w:val="20"/>
                <w:szCs w:val="20"/>
              </w:rPr>
              <w:t xml:space="preserve">itness to </w:t>
            </w:r>
            <w:r w:rsidR="00A70ABA">
              <w:rPr>
                <w:rFonts w:ascii="Arial" w:eastAsia="Arial" w:hAnsi="Arial" w:cs="Arial"/>
                <w:color w:val="000000"/>
                <w:sz w:val="20"/>
                <w:szCs w:val="20"/>
              </w:rPr>
              <w:t>S</w:t>
            </w:r>
            <w:r>
              <w:rPr>
                <w:rFonts w:ascii="Arial" w:eastAsia="Arial" w:hAnsi="Arial" w:cs="Arial"/>
                <w:color w:val="000000"/>
                <w:sz w:val="20"/>
                <w:szCs w:val="20"/>
              </w:rPr>
              <w:t xml:space="preserve">tudy </w:t>
            </w:r>
            <w:r w:rsidR="00A70ABA">
              <w:rPr>
                <w:rFonts w:ascii="Arial" w:eastAsia="Arial" w:hAnsi="Arial" w:cs="Arial"/>
                <w:color w:val="000000"/>
                <w:sz w:val="20"/>
                <w:szCs w:val="20"/>
              </w:rPr>
              <w:t>O</w:t>
            </w:r>
            <w:r>
              <w:rPr>
                <w:rFonts w:ascii="Arial" w:eastAsia="Arial" w:hAnsi="Arial" w:cs="Arial"/>
                <w:color w:val="000000"/>
                <w:sz w:val="20"/>
                <w:szCs w:val="20"/>
              </w:rPr>
              <w:t>fficer</w:t>
            </w:r>
            <w:r w:rsidR="00BD5341">
              <w:rPr>
                <w:rFonts w:ascii="Arial" w:eastAsia="Arial" w:hAnsi="Arial" w:cs="Arial"/>
                <w:color w:val="000000"/>
                <w:sz w:val="20"/>
                <w:szCs w:val="20"/>
              </w:rPr>
              <w:t xml:space="preserve"> (who may also act as case manager)</w:t>
            </w:r>
          </w:p>
        </w:tc>
        <w:tc>
          <w:tcPr>
            <w:tcW w:w="1076" w:type="pct"/>
            <w:tcBorders>
              <w:top w:val="outset" w:sz="6" w:space="0" w:color="auto"/>
              <w:left w:val="outset" w:sz="6" w:space="0" w:color="auto"/>
              <w:bottom w:val="outset" w:sz="6" w:space="0" w:color="auto"/>
              <w:right w:val="outset" w:sz="6" w:space="0" w:color="auto"/>
            </w:tcBorders>
          </w:tcPr>
          <w:p w14:paraId="7E97CD48"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In accordance with this policy</w:t>
            </w:r>
          </w:p>
        </w:tc>
      </w:tr>
      <w:tr w:rsidR="00982D06" w14:paraId="17E569D7" w14:textId="77777777" w:rsidTr="6F2E7268">
        <w:tc>
          <w:tcPr>
            <w:tcW w:w="2547" w:type="pct"/>
            <w:tcBorders>
              <w:top w:val="outset" w:sz="6" w:space="0" w:color="auto"/>
              <w:left w:val="outset" w:sz="6" w:space="0" w:color="auto"/>
              <w:bottom w:val="outset" w:sz="6" w:space="0" w:color="auto"/>
              <w:right w:val="outset" w:sz="6" w:space="0" w:color="auto"/>
            </w:tcBorders>
          </w:tcPr>
          <w:p w14:paraId="64787924" w14:textId="77777777" w:rsidR="00055418" w:rsidRDefault="00055418" w:rsidP="00055418">
            <w:pPr>
              <w:numPr>
                <w:ilvl w:val="0"/>
                <w:numId w:val="4"/>
              </w:numPr>
              <w:rPr>
                <w:rFonts w:ascii="Arial" w:eastAsia="Arial" w:hAnsi="Arial" w:cs="Arial"/>
                <w:color w:val="000000"/>
                <w:sz w:val="20"/>
                <w:szCs w:val="20"/>
              </w:rPr>
            </w:pPr>
            <w:r>
              <w:rPr>
                <w:rFonts w:ascii="Arial" w:eastAsia="Arial" w:hAnsi="Arial" w:cs="Arial"/>
                <w:color w:val="000000"/>
                <w:sz w:val="20"/>
                <w:szCs w:val="20"/>
              </w:rPr>
              <w:t>Appoints Fitness to Study Officer</w:t>
            </w:r>
          </w:p>
          <w:p w14:paraId="7CCC552F" w14:textId="77777777" w:rsidR="00055418" w:rsidRDefault="00055418" w:rsidP="00055418">
            <w:pPr>
              <w:numPr>
                <w:ilvl w:val="0"/>
                <w:numId w:val="4"/>
              </w:numPr>
              <w:rPr>
                <w:rFonts w:ascii="Arial" w:eastAsia="Arial" w:hAnsi="Arial" w:cs="Arial"/>
                <w:color w:val="000000"/>
                <w:sz w:val="20"/>
                <w:szCs w:val="20"/>
              </w:rPr>
            </w:pPr>
            <w:r>
              <w:rPr>
                <w:rFonts w:ascii="Arial" w:eastAsia="Arial" w:hAnsi="Arial" w:cs="Arial"/>
                <w:color w:val="000000"/>
                <w:sz w:val="20"/>
                <w:szCs w:val="20"/>
              </w:rPr>
              <w:t>Receives reports about concerning student conduct</w:t>
            </w:r>
          </w:p>
          <w:p w14:paraId="45ECD69F" w14:textId="77777777" w:rsidR="00055418" w:rsidRPr="00F669CC" w:rsidRDefault="00055418" w:rsidP="00055418">
            <w:pPr>
              <w:numPr>
                <w:ilvl w:val="0"/>
                <w:numId w:val="4"/>
              </w:numPr>
              <w:rPr>
                <w:rFonts w:ascii="Arial" w:eastAsia="Arial" w:hAnsi="Arial" w:cs="Arial"/>
                <w:color w:val="000000"/>
                <w:sz w:val="20"/>
                <w:szCs w:val="20"/>
              </w:rPr>
            </w:pPr>
            <w:r>
              <w:rPr>
                <w:rFonts w:ascii="Arial" w:eastAsia="Arial" w:hAnsi="Arial" w:cs="Arial"/>
                <w:color w:val="000000"/>
                <w:sz w:val="20"/>
                <w:szCs w:val="20"/>
              </w:rPr>
              <w:t>Makes recommendations and/or referrals to the Academic Registrar based on a report from Faculty Fitness to Study Officer, Faculty Wellbeing Officer or Fitness to Study Advisory Group</w:t>
            </w:r>
          </w:p>
          <w:p w14:paraId="658BCEDC" w14:textId="77777777" w:rsidR="00982D06" w:rsidRDefault="00D96E42">
            <w:pPr>
              <w:numPr>
                <w:ilvl w:val="0"/>
                <w:numId w:val="4"/>
              </w:numPr>
              <w:rPr>
                <w:rFonts w:ascii="Arial" w:eastAsia="Arial" w:hAnsi="Arial" w:cs="Arial"/>
                <w:color w:val="000000"/>
                <w:sz w:val="20"/>
                <w:szCs w:val="20"/>
              </w:rPr>
            </w:pPr>
            <w:r>
              <w:rPr>
                <w:rFonts w:ascii="Arial" w:eastAsia="Arial" w:hAnsi="Arial" w:cs="Arial"/>
                <w:color w:val="000000"/>
                <w:sz w:val="20"/>
                <w:szCs w:val="20"/>
              </w:rPr>
              <w:t>Receives recommendations from the Academic Registrar based on a report from a Fitness to Study Committee</w:t>
            </w:r>
          </w:p>
          <w:p w14:paraId="633A7E51" w14:textId="77777777" w:rsidR="00982D06" w:rsidRDefault="00D96E42">
            <w:pPr>
              <w:numPr>
                <w:ilvl w:val="0"/>
                <w:numId w:val="4"/>
              </w:numPr>
              <w:rPr>
                <w:rFonts w:ascii="Arial" w:eastAsia="Arial" w:hAnsi="Arial" w:cs="Arial"/>
                <w:color w:val="000000"/>
                <w:sz w:val="20"/>
                <w:szCs w:val="20"/>
              </w:rPr>
            </w:pPr>
            <w:r>
              <w:rPr>
                <w:rFonts w:ascii="Arial" w:eastAsia="Arial" w:hAnsi="Arial" w:cs="Arial"/>
                <w:color w:val="000000"/>
                <w:sz w:val="20"/>
                <w:szCs w:val="20"/>
              </w:rPr>
              <w:t>Receives recommendations from the Academic Registrar on the student’s return to study</w:t>
            </w:r>
          </w:p>
          <w:p w14:paraId="3F8BB360" w14:textId="6E8DDFA3" w:rsidR="00594C99" w:rsidRDefault="00FB663F">
            <w:pPr>
              <w:numPr>
                <w:ilvl w:val="0"/>
                <w:numId w:val="4"/>
              </w:numPr>
              <w:rPr>
                <w:rFonts w:ascii="Arial" w:eastAsia="Arial" w:hAnsi="Arial" w:cs="Arial"/>
                <w:color w:val="000000"/>
                <w:sz w:val="20"/>
                <w:szCs w:val="20"/>
              </w:rPr>
            </w:pPr>
            <w:r>
              <w:rPr>
                <w:rFonts w:ascii="Arial" w:eastAsia="Arial" w:hAnsi="Arial" w:cs="Arial"/>
                <w:color w:val="000000"/>
                <w:sz w:val="20"/>
                <w:szCs w:val="20"/>
              </w:rPr>
              <w:t>Approves return to study plan</w:t>
            </w:r>
          </w:p>
        </w:tc>
        <w:tc>
          <w:tcPr>
            <w:tcW w:w="1377" w:type="pct"/>
            <w:tcBorders>
              <w:top w:val="outset" w:sz="6" w:space="0" w:color="auto"/>
              <w:left w:val="outset" w:sz="6" w:space="0" w:color="auto"/>
              <w:bottom w:val="outset" w:sz="6" w:space="0" w:color="auto"/>
              <w:right w:val="outset" w:sz="6" w:space="0" w:color="auto"/>
            </w:tcBorders>
          </w:tcPr>
          <w:p w14:paraId="6D6D4177"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Deans</w:t>
            </w:r>
          </w:p>
        </w:tc>
        <w:tc>
          <w:tcPr>
            <w:tcW w:w="1076" w:type="pct"/>
            <w:tcBorders>
              <w:top w:val="outset" w:sz="6" w:space="0" w:color="auto"/>
              <w:left w:val="outset" w:sz="6" w:space="0" w:color="auto"/>
              <w:bottom w:val="outset" w:sz="6" w:space="0" w:color="auto"/>
              <w:right w:val="outset" w:sz="6" w:space="0" w:color="auto"/>
            </w:tcBorders>
          </w:tcPr>
          <w:p w14:paraId="13755909"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In accordance with this policy</w:t>
            </w:r>
          </w:p>
        </w:tc>
      </w:tr>
    </w:tbl>
    <w:p w14:paraId="571A2017" w14:textId="77777777" w:rsidR="00982D06" w:rsidRDefault="00D96E42">
      <w:pPr>
        <w:pStyle w:val="Heading2"/>
      </w:pPr>
      <w:r>
        <w:t>7. Definitions</w:t>
      </w:r>
    </w:p>
    <w:p w14:paraId="204DFB08" w14:textId="50ABBC66" w:rsidR="00982D06" w:rsidRDefault="00D96E42">
      <w:pPr>
        <w:spacing w:after="280" w:afterAutospacing="1"/>
        <w:rPr>
          <w:rFonts w:ascii="Arial" w:eastAsia="Arial" w:hAnsi="Arial" w:cs="Arial"/>
          <w:color w:val="000000"/>
          <w:sz w:val="20"/>
          <w:szCs w:val="20"/>
        </w:rPr>
      </w:pPr>
      <w:r>
        <w:rPr>
          <w:rFonts w:ascii="Arial" w:eastAsia="Arial" w:hAnsi="Arial" w:cs="Arial"/>
          <w:b/>
          <w:bCs/>
          <w:color w:val="000000"/>
          <w:sz w:val="20"/>
          <w:szCs w:val="20"/>
        </w:rPr>
        <w:t>Health</w:t>
      </w:r>
      <w:r>
        <w:rPr>
          <w:rFonts w:ascii="Arial" w:eastAsia="Arial" w:hAnsi="Arial" w:cs="Arial"/>
          <w:color w:val="000000"/>
          <w:sz w:val="20"/>
          <w:szCs w:val="20"/>
        </w:rPr>
        <w:t xml:space="preserve"> includes, but is not limited to, having a disease notifiable under the Public Health and Wellbeing Regulations 2009.</w:t>
      </w:r>
    </w:p>
    <w:p w14:paraId="6AA4323A" w14:textId="5A83340F" w:rsidR="00982D06" w:rsidRDefault="00D96E42">
      <w:pPr>
        <w:spacing w:after="280" w:afterAutospacing="1"/>
        <w:rPr>
          <w:rFonts w:ascii="Arial" w:eastAsia="Arial" w:hAnsi="Arial" w:cs="Arial"/>
          <w:color w:val="000000"/>
          <w:sz w:val="20"/>
          <w:szCs w:val="20"/>
        </w:rPr>
      </w:pPr>
      <w:r>
        <w:rPr>
          <w:rFonts w:ascii="Arial" w:eastAsia="Arial" w:hAnsi="Arial" w:cs="Arial"/>
          <w:b/>
          <w:bCs/>
          <w:color w:val="000000"/>
          <w:sz w:val="20"/>
          <w:szCs w:val="20"/>
        </w:rPr>
        <w:t>Senior member of staff</w:t>
      </w:r>
      <w:r>
        <w:rPr>
          <w:rFonts w:ascii="Arial" w:eastAsia="Arial" w:hAnsi="Arial" w:cs="Arial"/>
          <w:color w:val="000000"/>
          <w:sz w:val="20"/>
          <w:szCs w:val="20"/>
        </w:rPr>
        <w:t xml:space="preserve"> means an academic staff appointed at the classification level C or above</w:t>
      </w:r>
      <w:r w:rsidR="00267714">
        <w:rPr>
          <w:rFonts w:ascii="Arial" w:eastAsia="Arial" w:hAnsi="Arial" w:cs="Arial"/>
          <w:color w:val="000000"/>
          <w:sz w:val="20"/>
          <w:szCs w:val="20"/>
        </w:rPr>
        <w:t xml:space="preserve"> and a professional staff member at UoM10 or above</w:t>
      </w:r>
    </w:p>
    <w:p w14:paraId="3827D07C" w14:textId="77777777" w:rsidR="00982D06" w:rsidRDefault="00D96E42">
      <w:pPr>
        <w:spacing w:after="280" w:afterAutospacing="1"/>
        <w:rPr>
          <w:rFonts w:ascii="Arial" w:eastAsia="Arial" w:hAnsi="Arial" w:cs="Arial"/>
          <w:color w:val="000000"/>
          <w:sz w:val="20"/>
          <w:szCs w:val="20"/>
        </w:rPr>
      </w:pPr>
      <w:r>
        <w:rPr>
          <w:rFonts w:ascii="Arial" w:eastAsia="Arial" w:hAnsi="Arial" w:cs="Arial"/>
          <w:b/>
          <w:bCs/>
          <w:color w:val="000000"/>
          <w:sz w:val="20"/>
          <w:szCs w:val="20"/>
        </w:rPr>
        <w:t>Student</w:t>
      </w:r>
      <w:r>
        <w:rPr>
          <w:rFonts w:ascii="Arial" w:eastAsia="Arial" w:hAnsi="Arial" w:cs="Arial"/>
          <w:color w:val="000000"/>
          <w:sz w:val="20"/>
          <w:szCs w:val="20"/>
        </w:rPr>
        <w:t xml:space="preserve"> means:</w:t>
      </w:r>
    </w:p>
    <w:p w14:paraId="6A75F0B9"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(a)   any person enrolled in accordance with the relevant policies and procedures at the University; and</w:t>
      </w:r>
    </w:p>
    <w:p w14:paraId="49A0D494"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(b)   for the purposes of this policy, any person admitted into a course or subject.</w:t>
      </w:r>
    </w:p>
    <w:p w14:paraId="3FFFBBD4" w14:textId="03E66AA3" w:rsidR="00A474F0" w:rsidRPr="00177600" w:rsidRDefault="00D96E42">
      <w:pPr>
        <w:spacing w:after="280" w:afterAutospacing="1"/>
        <w:rPr>
          <w:rFonts w:ascii="Arial" w:eastAsia="Arial" w:hAnsi="Arial" w:cs="Arial"/>
          <w:color w:val="000000"/>
          <w:sz w:val="20"/>
          <w:szCs w:val="20"/>
        </w:rPr>
      </w:pPr>
      <w:r>
        <w:rPr>
          <w:rFonts w:ascii="Arial" w:eastAsia="Arial" w:hAnsi="Arial" w:cs="Arial"/>
          <w:b/>
          <w:bCs/>
          <w:color w:val="000000"/>
          <w:sz w:val="20"/>
          <w:szCs w:val="20"/>
        </w:rPr>
        <w:t>Study</w:t>
      </w:r>
      <w:r>
        <w:rPr>
          <w:rFonts w:ascii="Arial" w:eastAsia="Arial" w:hAnsi="Arial" w:cs="Arial"/>
          <w:color w:val="000000"/>
          <w:sz w:val="20"/>
          <w:szCs w:val="20"/>
        </w:rPr>
        <w:t xml:space="preserve"> in this policy refers to learning, research or any other activity related to their program studies</w:t>
      </w:r>
    </w:p>
    <w:p w14:paraId="10A58521" w14:textId="7203B287" w:rsidR="00A474F0" w:rsidRDefault="00A474F0">
      <w:pPr>
        <w:spacing w:after="280" w:afterAutospacing="1"/>
        <w:rPr>
          <w:rFonts w:ascii="Arial" w:eastAsia="Arial" w:hAnsi="Arial" w:cs="Arial"/>
          <w:b/>
          <w:bCs/>
          <w:color w:val="000000"/>
          <w:sz w:val="20"/>
          <w:szCs w:val="20"/>
        </w:rPr>
      </w:pPr>
      <w:r>
        <w:rPr>
          <w:rFonts w:ascii="Arial" w:eastAsia="Arial" w:hAnsi="Arial" w:cs="Arial"/>
          <w:b/>
          <w:bCs/>
          <w:color w:val="000000"/>
          <w:sz w:val="20"/>
          <w:szCs w:val="20"/>
        </w:rPr>
        <w:t>University b</w:t>
      </w:r>
      <w:r w:rsidRPr="00177600">
        <w:rPr>
          <w:rFonts w:ascii="Arial" w:eastAsia="Arial" w:hAnsi="Arial" w:cs="Arial"/>
          <w:b/>
          <w:bCs/>
          <w:color w:val="000000"/>
          <w:sz w:val="20"/>
          <w:szCs w:val="20"/>
        </w:rPr>
        <w:t xml:space="preserve">usiness </w:t>
      </w:r>
      <w:r>
        <w:rPr>
          <w:rFonts w:ascii="Arial" w:eastAsia="Arial" w:hAnsi="Arial" w:cs="Arial"/>
          <w:b/>
          <w:bCs/>
          <w:color w:val="000000"/>
          <w:sz w:val="20"/>
          <w:szCs w:val="20"/>
        </w:rPr>
        <w:t>d</w:t>
      </w:r>
      <w:r w:rsidRPr="00177600">
        <w:rPr>
          <w:rFonts w:ascii="Arial" w:eastAsia="Arial" w:hAnsi="Arial" w:cs="Arial"/>
          <w:b/>
          <w:bCs/>
          <w:color w:val="000000"/>
          <w:sz w:val="20"/>
          <w:szCs w:val="20"/>
        </w:rPr>
        <w:t xml:space="preserve">ay </w:t>
      </w:r>
      <w:r w:rsidRPr="00177600">
        <w:rPr>
          <w:rFonts w:ascii="Arial" w:eastAsia="Arial" w:hAnsi="Arial" w:cs="Arial"/>
          <w:color w:val="000000"/>
          <w:sz w:val="20"/>
          <w:szCs w:val="20"/>
        </w:rPr>
        <w:t>means a day that is not a Saturday, Sunday or a University holiday as indicated on the University calendar (as amended from time to time).</w:t>
      </w:r>
    </w:p>
    <w:p w14:paraId="635E57B6" w14:textId="77777777" w:rsidR="00982D06" w:rsidRDefault="00D96E42">
      <w:pPr>
        <w:pStyle w:val="Heading2"/>
      </w:pPr>
      <w:r>
        <w:t>POLICY APPROVER</w:t>
      </w:r>
    </w:p>
    <w:p w14:paraId="3557BA48"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Vice-President Administration and Finance, and Chief Operating Officer</w:t>
      </w:r>
    </w:p>
    <w:p w14:paraId="01923BD8" w14:textId="77777777" w:rsidR="00982D06" w:rsidRDefault="00D96E42">
      <w:pPr>
        <w:pStyle w:val="Heading2"/>
      </w:pPr>
      <w:r>
        <w:t>POLICY STEWARD</w:t>
      </w:r>
    </w:p>
    <w:p w14:paraId="620E7F38" w14:textId="37D4BFDF" w:rsidR="00982D06" w:rsidRDefault="00D96E42" w:rsidP="36108200">
      <w:pPr>
        <w:spacing w:after="280" w:afterAutospacing="1"/>
        <w:rPr>
          <w:rFonts w:ascii="Arial" w:eastAsia="Arial" w:hAnsi="Arial" w:cs="Arial"/>
          <w:color w:val="000000"/>
          <w:sz w:val="20"/>
          <w:szCs w:val="20"/>
        </w:rPr>
      </w:pPr>
      <w:r w:rsidRPr="36108200">
        <w:rPr>
          <w:rFonts w:ascii="Arial" w:eastAsia="Arial" w:hAnsi="Arial" w:cs="Arial"/>
          <w:color w:val="000000" w:themeColor="text1"/>
          <w:sz w:val="20"/>
          <w:szCs w:val="20"/>
        </w:rPr>
        <w:t xml:space="preserve">Principal Adviser, Student </w:t>
      </w:r>
      <w:r w:rsidR="48BC2141" w:rsidRPr="36108200">
        <w:rPr>
          <w:rFonts w:ascii="Arial" w:eastAsia="Arial" w:hAnsi="Arial" w:cs="Arial"/>
          <w:color w:val="000000" w:themeColor="text1"/>
          <w:sz w:val="20"/>
          <w:szCs w:val="20"/>
        </w:rPr>
        <w:t>Conduct</w:t>
      </w:r>
    </w:p>
    <w:p w14:paraId="6133788F" w14:textId="77777777" w:rsidR="00982D06" w:rsidRDefault="00D96E42">
      <w:pPr>
        <w:pStyle w:val="Heading2"/>
      </w:pPr>
      <w:r>
        <w:t>REVIEW</w:t>
      </w:r>
    </w:p>
    <w:p w14:paraId="0EA4FCDD" w14:textId="62AA14A6"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This policy is to be reviewed by 31 </w:t>
      </w:r>
      <w:r w:rsidR="00594C99">
        <w:rPr>
          <w:rFonts w:ascii="Arial" w:eastAsia="Arial" w:hAnsi="Arial" w:cs="Arial"/>
          <w:color w:val="000000"/>
          <w:sz w:val="20"/>
          <w:szCs w:val="20"/>
        </w:rPr>
        <w:t xml:space="preserve">December </w:t>
      </w:r>
      <w:r>
        <w:rPr>
          <w:rFonts w:ascii="Arial" w:eastAsia="Arial" w:hAnsi="Arial" w:cs="Arial"/>
          <w:color w:val="000000"/>
          <w:sz w:val="20"/>
          <w:szCs w:val="20"/>
        </w:rPr>
        <w:t>202</w:t>
      </w:r>
      <w:r w:rsidR="00E0454B">
        <w:rPr>
          <w:rFonts w:ascii="Arial" w:eastAsia="Arial" w:hAnsi="Arial" w:cs="Arial"/>
          <w:color w:val="000000"/>
          <w:sz w:val="20"/>
          <w:szCs w:val="20"/>
        </w:rPr>
        <w:t>3</w:t>
      </w:r>
      <w:r>
        <w:rPr>
          <w:rFonts w:ascii="Arial" w:eastAsia="Arial" w:hAnsi="Arial" w:cs="Arial"/>
          <w:color w:val="000000"/>
          <w:sz w:val="20"/>
          <w:szCs w:val="20"/>
        </w:rPr>
        <w:t>.</w:t>
      </w:r>
    </w:p>
    <w:p w14:paraId="6A8567E0" w14:textId="77777777" w:rsidR="00982D06" w:rsidRDefault="00D96E42">
      <w:pPr>
        <w:pStyle w:val="Heading2"/>
      </w:pPr>
      <w:r>
        <w:t>VERSION HISTORY</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854"/>
        <w:gridCol w:w="1567"/>
        <w:gridCol w:w="1120"/>
        <w:gridCol w:w="1132"/>
        <w:gridCol w:w="3951"/>
      </w:tblGrid>
      <w:tr w:rsidR="006C5228" w14:paraId="7147F523" w14:textId="77777777">
        <w:tc>
          <w:tcPr>
            <w:tcW w:w="0" w:type="auto"/>
            <w:tcBorders>
              <w:top w:val="outset" w:sz="6" w:space="0" w:color="auto"/>
              <w:left w:val="outset" w:sz="6" w:space="0" w:color="auto"/>
              <w:bottom w:val="outset" w:sz="6" w:space="0" w:color="auto"/>
              <w:right w:val="outset" w:sz="6" w:space="0" w:color="auto"/>
            </w:tcBorders>
            <w:vAlign w:val="center"/>
          </w:tcPr>
          <w:p w14:paraId="1AEEE20E" w14:textId="77777777" w:rsidR="00982D06" w:rsidRDefault="00D96E42">
            <w:pPr>
              <w:rPr>
                <w:rFonts w:ascii="Arial" w:eastAsia="Arial" w:hAnsi="Arial" w:cs="Arial"/>
                <w:color w:val="000000"/>
                <w:sz w:val="20"/>
                <w:szCs w:val="20"/>
              </w:rPr>
            </w:pPr>
            <w:r>
              <w:rPr>
                <w:rFonts w:ascii="Arial" w:eastAsia="Arial" w:hAnsi="Arial" w:cs="Arial"/>
                <w:b/>
                <w:bCs/>
                <w:color w:val="000000"/>
                <w:sz w:val="20"/>
                <w:szCs w:val="20"/>
              </w:rPr>
              <w:lastRenderedPageBreak/>
              <w:t>Version</w:t>
            </w:r>
          </w:p>
        </w:tc>
        <w:tc>
          <w:tcPr>
            <w:tcW w:w="0" w:type="auto"/>
            <w:tcBorders>
              <w:top w:val="outset" w:sz="6" w:space="0" w:color="auto"/>
              <w:left w:val="outset" w:sz="6" w:space="0" w:color="auto"/>
              <w:bottom w:val="outset" w:sz="6" w:space="0" w:color="auto"/>
              <w:right w:val="outset" w:sz="6" w:space="0" w:color="auto"/>
            </w:tcBorders>
            <w:vAlign w:val="center"/>
          </w:tcPr>
          <w:p w14:paraId="5962F938" w14:textId="77777777" w:rsidR="00982D06" w:rsidRDefault="00D96E42">
            <w:pPr>
              <w:rPr>
                <w:rFonts w:ascii="Arial" w:eastAsia="Arial" w:hAnsi="Arial" w:cs="Arial"/>
                <w:color w:val="000000"/>
                <w:sz w:val="20"/>
                <w:szCs w:val="20"/>
              </w:rPr>
            </w:pPr>
            <w:r>
              <w:rPr>
                <w:rFonts w:ascii="Arial" w:eastAsia="Arial" w:hAnsi="Arial" w:cs="Arial"/>
                <w:b/>
                <w:bCs/>
                <w:color w:val="000000"/>
                <w:sz w:val="20"/>
                <w:szCs w:val="20"/>
              </w:rPr>
              <w:t>Approved By</w:t>
            </w:r>
          </w:p>
        </w:tc>
        <w:tc>
          <w:tcPr>
            <w:tcW w:w="0" w:type="auto"/>
            <w:tcBorders>
              <w:top w:val="outset" w:sz="6" w:space="0" w:color="auto"/>
              <w:left w:val="outset" w:sz="6" w:space="0" w:color="auto"/>
              <w:bottom w:val="outset" w:sz="6" w:space="0" w:color="auto"/>
              <w:right w:val="outset" w:sz="6" w:space="0" w:color="auto"/>
            </w:tcBorders>
            <w:vAlign w:val="center"/>
          </w:tcPr>
          <w:p w14:paraId="44FFB3C8" w14:textId="77777777" w:rsidR="00982D06" w:rsidRDefault="00D96E42">
            <w:pPr>
              <w:rPr>
                <w:rFonts w:ascii="Arial" w:eastAsia="Arial" w:hAnsi="Arial" w:cs="Arial"/>
                <w:color w:val="000000"/>
                <w:sz w:val="20"/>
                <w:szCs w:val="20"/>
              </w:rPr>
            </w:pPr>
            <w:r>
              <w:rPr>
                <w:rFonts w:ascii="Arial" w:eastAsia="Arial" w:hAnsi="Arial" w:cs="Arial"/>
                <w:b/>
                <w:bCs/>
                <w:color w:val="000000"/>
                <w:sz w:val="20"/>
                <w:szCs w:val="20"/>
              </w:rPr>
              <w:t>Approval Date</w:t>
            </w:r>
          </w:p>
        </w:tc>
        <w:tc>
          <w:tcPr>
            <w:tcW w:w="0" w:type="auto"/>
            <w:tcBorders>
              <w:top w:val="outset" w:sz="6" w:space="0" w:color="auto"/>
              <w:left w:val="outset" w:sz="6" w:space="0" w:color="auto"/>
              <w:bottom w:val="outset" w:sz="6" w:space="0" w:color="auto"/>
              <w:right w:val="outset" w:sz="6" w:space="0" w:color="auto"/>
            </w:tcBorders>
            <w:vAlign w:val="center"/>
          </w:tcPr>
          <w:p w14:paraId="20A0E2B7" w14:textId="77777777" w:rsidR="00982D06" w:rsidRDefault="00D96E42">
            <w:pPr>
              <w:rPr>
                <w:rFonts w:ascii="Arial" w:eastAsia="Arial" w:hAnsi="Arial" w:cs="Arial"/>
                <w:color w:val="000000"/>
                <w:sz w:val="20"/>
                <w:szCs w:val="20"/>
              </w:rPr>
            </w:pPr>
            <w:r>
              <w:rPr>
                <w:rFonts w:ascii="Arial" w:eastAsia="Arial" w:hAnsi="Arial" w:cs="Arial"/>
                <w:b/>
                <w:bCs/>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vAlign w:val="center"/>
          </w:tcPr>
          <w:p w14:paraId="57263EE6" w14:textId="77777777" w:rsidR="00982D06" w:rsidRDefault="00D96E42">
            <w:pPr>
              <w:rPr>
                <w:rFonts w:ascii="Arial" w:eastAsia="Arial" w:hAnsi="Arial" w:cs="Arial"/>
                <w:color w:val="000000"/>
                <w:sz w:val="20"/>
                <w:szCs w:val="20"/>
              </w:rPr>
            </w:pPr>
            <w:r>
              <w:rPr>
                <w:rFonts w:ascii="Arial" w:eastAsia="Arial" w:hAnsi="Arial" w:cs="Arial"/>
                <w:b/>
                <w:bCs/>
                <w:color w:val="000000"/>
                <w:sz w:val="20"/>
                <w:szCs w:val="20"/>
              </w:rPr>
              <w:t>Sections Modified</w:t>
            </w:r>
          </w:p>
        </w:tc>
      </w:tr>
      <w:tr w:rsidR="006C5228" w14:paraId="6ADFBE4B" w14:textId="77777777">
        <w:tc>
          <w:tcPr>
            <w:tcW w:w="0" w:type="auto"/>
            <w:tcBorders>
              <w:top w:val="outset" w:sz="6" w:space="0" w:color="auto"/>
              <w:left w:val="outset" w:sz="6" w:space="0" w:color="auto"/>
              <w:bottom w:val="outset" w:sz="6" w:space="0" w:color="auto"/>
              <w:right w:val="outset" w:sz="6" w:space="0" w:color="auto"/>
            </w:tcBorders>
            <w:vAlign w:val="center"/>
          </w:tcPr>
          <w:p w14:paraId="70943C05"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14:paraId="01CF72D9"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Vice-Chancellor</w:t>
            </w:r>
          </w:p>
        </w:tc>
        <w:tc>
          <w:tcPr>
            <w:tcW w:w="0" w:type="auto"/>
            <w:tcBorders>
              <w:top w:val="outset" w:sz="6" w:space="0" w:color="auto"/>
              <w:left w:val="outset" w:sz="6" w:space="0" w:color="auto"/>
              <w:bottom w:val="outset" w:sz="6" w:space="0" w:color="auto"/>
              <w:right w:val="outset" w:sz="6" w:space="0" w:color="auto"/>
            </w:tcBorders>
            <w:vAlign w:val="center"/>
          </w:tcPr>
          <w:p w14:paraId="0E759905"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9 December 2020</w:t>
            </w:r>
          </w:p>
        </w:tc>
        <w:tc>
          <w:tcPr>
            <w:tcW w:w="0" w:type="auto"/>
            <w:tcBorders>
              <w:top w:val="outset" w:sz="6" w:space="0" w:color="auto"/>
              <w:left w:val="outset" w:sz="6" w:space="0" w:color="auto"/>
              <w:bottom w:val="outset" w:sz="6" w:space="0" w:color="auto"/>
              <w:right w:val="outset" w:sz="6" w:space="0" w:color="auto"/>
            </w:tcBorders>
            <w:vAlign w:val="center"/>
          </w:tcPr>
          <w:p w14:paraId="507C1269"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11 December 2020</w:t>
            </w:r>
          </w:p>
        </w:tc>
        <w:tc>
          <w:tcPr>
            <w:tcW w:w="0" w:type="auto"/>
            <w:tcBorders>
              <w:top w:val="outset" w:sz="6" w:space="0" w:color="auto"/>
              <w:left w:val="outset" w:sz="6" w:space="0" w:color="auto"/>
              <w:bottom w:val="outset" w:sz="6" w:space="0" w:color="auto"/>
              <w:right w:val="outset" w:sz="6" w:space="0" w:color="auto"/>
            </w:tcBorders>
            <w:vAlign w:val="center"/>
          </w:tcPr>
          <w:p w14:paraId="42DB1C76"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New policy.</w:t>
            </w:r>
          </w:p>
        </w:tc>
      </w:tr>
      <w:tr w:rsidR="006C5228" w14:paraId="1429806F" w14:textId="77777777">
        <w:tc>
          <w:tcPr>
            <w:tcW w:w="0" w:type="auto"/>
            <w:tcBorders>
              <w:top w:val="outset" w:sz="6" w:space="0" w:color="auto"/>
              <w:left w:val="outset" w:sz="6" w:space="0" w:color="auto"/>
              <w:bottom w:val="outset" w:sz="6" w:space="0" w:color="auto"/>
              <w:right w:val="outset" w:sz="6" w:space="0" w:color="auto"/>
            </w:tcBorders>
            <w:vAlign w:val="center"/>
          </w:tcPr>
          <w:p w14:paraId="249444E0"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67230224"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Policy Officer</w:t>
            </w:r>
          </w:p>
        </w:tc>
        <w:tc>
          <w:tcPr>
            <w:tcW w:w="0" w:type="auto"/>
            <w:tcBorders>
              <w:top w:val="outset" w:sz="6" w:space="0" w:color="auto"/>
              <w:left w:val="outset" w:sz="6" w:space="0" w:color="auto"/>
              <w:bottom w:val="outset" w:sz="6" w:space="0" w:color="auto"/>
              <w:right w:val="outset" w:sz="6" w:space="0" w:color="auto"/>
            </w:tcBorders>
            <w:vAlign w:val="center"/>
          </w:tcPr>
          <w:p w14:paraId="451604D5"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3 February 2021</w:t>
            </w:r>
          </w:p>
        </w:tc>
        <w:tc>
          <w:tcPr>
            <w:tcW w:w="0" w:type="auto"/>
            <w:tcBorders>
              <w:top w:val="outset" w:sz="6" w:space="0" w:color="auto"/>
              <w:left w:val="outset" w:sz="6" w:space="0" w:color="auto"/>
              <w:bottom w:val="outset" w:sz="6" w:space="0" w:color="auto"/>
              <w:right w:val="outset" w:sz="6" w:space="0" w:color="auto"/>
            </w:tcBorders>
            <w:vAlign w:val="center"/>
          </w:tcPr>
          <w:p w14:paraId="78C42C7A"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3 February 2021</w:t>
            </w:r>
          </w:p>
        </w:tc>
        <w:tc>
          <w:tcPr>
            <w:tcW w:w="0" w:type="auto"/>
            <w:tcBorders>
              <w:top w:val="outset" w:sz="6" w:space="0" w:color="auto"/>
              <w:left w:val="outset" w:sz="6" w:space="0" w:color="auto"/>
              <w:bottom w:val="outset" w:sz="6" w:space="0" w:color="auto"/>
              <w:right w:val="outset" w:sz="6" w:space="0" w:color="auto"/>
            </w:tcBorders>
            <w:vAlign w:val="center"/>
          </w:tcPr>
          <w:p w14:paraId="18EB4101"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Corrected errors in attributes. </w:t>
            </w:r>
          </w:p>
        </w:tc>
      </w:tr>
      <w:tr w:rsidR="006C5228" w14:paraId="70816702" w14:textId="77777777">
        <w:tc>
          <w:tcPr>
            <w:tcW w:w="0" w:type="auto"/>
            <w:tcBorders>
              <w:top w:val="outset" w:sz="6" w:space="0" w:color="auto"/>
              <w:left w:val="outset" w:sz="6" w:space="0" w:color="auto"/>
              <w:bottom w:val="outset" w:sz="6" w:space="0" w:color="auto"/>
              <w:right w:val="outset" w:sz="6" w:space="0" w:color="auto"/>
            </w:tcBorders>
            <w:vAlign w:val="center"/>
          </w:tcPr>
          <w:p w14:paraId="1730D73A"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47BD88B0"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Principal Adviser, Student Grievances and Complaints</w:t>
            </w:r>
          </w:p>
        </w:tc>
        <w:tc>
          <w:tcPr>
            <w:tcW w:w="0" w:type="auto"/>
            <w:tcBorders>
              <w:top w:val="outset" w:sz="6" w:space="0" w:color="auto"/>
              <w:left w:val="outset" w:sz="6" w:space="0" w:color="auto"/>
              <w:bottom w:val="outset" w:sz="6" w:space="0" w:color="auto"/>
              <w:right w:val="outset" w:sz="6" w:space="0" w:color="auto"/>
            </w:tcBorders>
            <w:vAlign w:val="center"/>
          </w:tcPr>
          <w:p w14:paraId="4D319FC1"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23 March 2021</w:t>
            </w:r>
          </w:p>
        </w:tc>
        <w:tc>
          <w:tcPr>
            <w:tcW w:w="0" w:type="auto"/>
            <w:tcBorders>
              <w:top w:val="outset" w:sz="6" w:space="0" w:color="auto"/>
              <w:left w:val="outset" w:sz="6" w:space="0" w:color="auto"/>
              <w:bottom w:val="outset" w:sz="6" w:space="0" w:color="auto"/>
              <w:right w:val="outset" w:sz="6" w:space="0" w:color="auto"/>
            </w:tcBorders>
            <w:vAlign w:val="center"/>
          </w:tcPr>
          <w:p w14:paraId="03CA8476"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23 March 2021</w:t>
            </w:r>
          </w:p>
        </w:tc>
        <w:tc>
          <w:tcPr>
            <w:tcW w:w="0" w:type="auto"/>
            <w:tcBorders>
              <w:top w:val="outset" w:sz="6" w:space="0" w:color="auto"/>
              <w:left w:val="outset" w:sz="6" w:space="0" w:color="auto"/>
              <w:bottom w:val="outset" w:sz="6" w:space="0" w:color="auto"/>
              <w:right w:val="outset" w:sz="6" w:space="0" w:color="auto"/>
            </w:tcBorders>
            <w:vAlign w:val="center"/>
          </w:tcPr>
          <w:p w14:paraId="0B485213"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Section 6 - editorial amendment to terminology for consistency. </w:t>
            </w:r>
          </w:p>
        </w:tc>
      </w:tr>
      <w:tr w:rsidR="00AF5B06" w14:paraId="507685AA" w14:textId="77777777">
        <w:tc>
          <w:tcPr>
            <w:tcW w:w="0" w:type="auto"/>
            <w:tcBorders>
              <w:top w:val="outset" w:sz="6" w:space="0" w:color="auto"/>
              <w:left w:val="outset" w:sz="6" w:space="0" w:color="auto"/>
              <w:bottom w:val="outset" w:sz="6" w:space="0" w:color="auto"/>
              <w:right w:val="outset" w:sz="6" w:space="0" w:color="auto"/>
            </w:tcBorders>
            <w:vAlign w:val="center"/>
          </w:tcPr>
          <w:p w14:paraId="0007F3BD" w14:textId="0A2D3201" w:rsidR="00257891" w:rsidRDefault="00257891">
            <w:pPr>
              <w:rPr>
                <w:rFonts w:ascii="Arial" w:eastAsia="Arial" w:hAnsi="Arial" w:cs="Arial"/>
                <w:color w:val="000000"/>
                <w:sz w:val="20"/>
                <w:szCs w:val="20"/>
              </w:rPr>
            </w:pPr>
            <w:r>
              <w:rPr>
                <w:rFonts w:ascii="Arial" w:eastAsia="Arial"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4C1E3D67" w14:textId="56856D23" w:rsidR="00257891" w:rsidRDefault="002B1824">
            <w:pPr>
              <w:rPr>
                <w:rFonts w:ascii="Arial" w:eastAsia="Arial" w:hAnsi="Arial" w:cs="Arial"/>
                <w:color w:val="000000"/>
                <w:sz w:val="20"/>
                <w:szCs w:val="20"/>
              </w:rPr>
            </w:pPr>
            <w:r>
              <w:rPr>
                <w:rFonts w:ascii="Arial" w:eastAsia="Arial" w:hAnsi="Arial" w:cs="Arial"/>
                <w:color w:val="000000"/>
                <w:sz w:val="20"/>
                <w:szCs w:val="20"/>
              </w:rPr>
              <w:t>Principal Adviser, Student Conduct</w:t>
            </w:r>
          </w:p>
        </w:tc>
        <w:tc>
          <w:tcPr>
            <w:tcW w:w="0" w:type="auto"/>
            <w:tcBorders>
              <w:top w:val="outset" w:sz="6" w:space="0" w:color="auto"/>
              <w:left w:val="outset" w:sz="6" w:space="0" w:color="auto"/>
              <w:bottom w:val="outset" w:sz="6" w:space="0" w:color="auto"/>
              <w:right w:val="outset" w:sz="6" w:space="0" w:color="auto"/>
            </w:tcBorders>
            <w:vAlign w:val="center"/>
          </w:tcPr>
          <w:p w14:paraId="3F26648C" w14:textId="25B20114" w:rsidR="00257891" w:rsidRDefault="00B83136">
            <w:pPr>
              <w:rPr>
                <w:rFonts w:ascii="Arial" w:eastAsia="Arial" w:hAnsi="Arial" w:cs="Arial"/>
                <w:color w:val="000000"/>
                <w:sz w:val="20"/>
                <w:szCs w:val="20"/>
              </w:rPr>
            </w:pPr>
            <w:r>
              <w:rPr>
                <w:rFonts w:ascii="Arial" w:eastAsia="Arial" w:hAnsi="Arial" w:cs="Arial"/>
                <w:color w:val="000000"/>
                <w:sz w:val="20"/>
                <w:szCs w:val="20"/>
              </w:rPr>
              <w:t>3 August 2022</w:t>
            </w:r>
          </w:p>
        </w:tc>
        <w:tc>
          <w:tcPr>
            <w:tcW w:w="0" w:type="auto"/>
            <w:tcBorders>
              <w:top w:val="outset" w:sz="6" w:space="0" w:color="auto"/>
              <w:left w:val="outset" w:sz="6" w:space="0" w:color="auto"/>
              <w:bottom w:val="outset" w:sz="6" w:space="0" w:color="auto"/>
              <w:right w:val="outset" w:sz="6" w:space="0" w:color="auto"/>
            </w:tcBorders>
            <w:vAlign w:val="center"/>
          </w:tcPr>
          <w:p w14:paraId="3EEC24F4" w14:textId="4B11F2AF" w:rsidR="00257891" w:rsidRDefault="0095170F">
            <w:pPr>
              <w:rPr>
                <w:rFonts w:ascii="Arial" w:eastAsia="Arial" w:hAnsi="Arial" w:cs="Arial"/>
                <w:color w:val="000000"/>
                <w:sz w:val="20"/>
                <w:szCs w:val="20"/>
              </w:rPr>
            </w:pPr>
            <w:r>
              <w:rPr>
                <w:rFonts w:ascii="Arial" w:eastAsia="Arial" w:hAnsi="Arial" w:cs="Arial"/>
                <w:color w:val="000000"/>
                <w:sz w:val="20"/>
                <w:szCs w:val="20"/>
              </w:rPr>
              <w:t>3 August 2022</w:t>
            </w:r>
          </w:p>
        </w:tc>
        <w:tc>
          <w:tcPr>
            <w:tcW w:w="0" w:type="auto"/>
            <w:tcBorders>
              <w:top w:val="outset" w:sz="6" w:space="0" w:color="auto"/>
              <w:left w:val="outset" w:sz="6" w:space="0" w:color="auto"/>
              <w:bottom w:val="outset" w:sz="6" w:space="0" w:color="auto"/>
              <w:right w:val="outset" w:sz="6" w:space="0" w:color="auto"/>
            </w:tcBorders>
            <w:vAlign w:val="center"/>
          </w:tcPr>
          <w:p w14:paraId="0452732B" w14:textId="053970C4" w:rsidR="00257891" w:rsidRDefault="00A51F68">
            <w:pPr>
              <w:rPr>
                <w:rFonts w:ascii="Arial" w:eastAsia="Arial" w:hAnsi="Arial" w:cs="Arial"/>
                <w:color w:val="000000"/>
                <w:sz w:val="20"/>
                <w:szCs w:val="20"/>
              </w:rPr>
            </w:pPr>
            <w:r>
              <w:rPr>
                <w:rFonts w:ascii="Arial" w:eastAsia="Arial" w:hAnsi="Arial" w:cs="Arial"/>
                <w:color w:val="000000"/>
                <w:sz w:val="20"/>
                <w:szCs w:val="20"/>
              </w:rPr>
              <w:t>Name change to policy steward from Principal Adviser, Student Grievances and Complaints to Principal Adviser, Student Conduct.</w:t>
            </w:r>
          </w:p>
        </w:tc>
      </w:tr>
      <w:tr w:rsidR="00AF5B06" w14:paraId="665A4917" w14:textId="77777777">
        <w:tc>
          <w:tcPr>
            <w:tcW w:w="0" w:type="auto"/>
            <w:tcBorders>
              <w:top w:val="outset" w:sz="6" w:space="0" w:color="auto"/>
              <w:left w:val="outset" w:sz="6" w:space="0" w:color="auto"/>
              <w:bottom w:val="outset" w:sz="6" w:space="0" w:color="auto"/>
              <w:right w:val="outset" w:sz="6" w:space="0" w:color="auto"/>
            </w:tcBorders>
            <w:vAlign w:val="center"/>
          </w:tcPr>
          <w:p w14:paraId="3665855C" w14:textId="1E137EF4" w:rsidR="00257891" w:rsidRDefault="00257891">
            <w:pPr>
              <w:rPr>
                <w:rFonts w:ascii="Arial" w:eastAsia="Arial" w:hAnsi="Arial" w:cs="Arial"/>
                <w:color w:val="000000"/>
                <w:sz w:val="20"/>
                <w:szCs w:val="20"/>
              </w:rPr>
            </w:pPr>
            <w:r>
              <w:rPr>
                <w:rFonts w:ascii="Arial" w:eastAsia="Arial"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6FB9E8CB" w14:textId="080C5ACA" w:rsidR="00257891" w:rsidRDefault="004042EA">
            <w:pPr>
              <w:rPr>
                <w:rFonts w:ascii="Arial" w:eastAsia="Arial" w:hAnsi="Arial" w:cs="Arial"/>
                <w:color w:val="000000"/>
                <w:sz w:val="20"/>
                <w:szCs w:val="20"/>
              </w:rPr>
            </w:pPr>
            <w:r>
              <w:rPr>
                <w:rFonts w:ascii="Arial" w:eastAsia="Arial" w:hAnsi="Arial" w:cs="Arial"/>
                <w:color w:val="000000"/>
                <w:sz w:val="20"/>
                <w:szCs w:val="20"/>
              </w:rPr>
              <w:t>Principal Adviser, Student Conduct</w:t>
            </w:r>
          </w:p>
        </w:tc>
        <w:tc>
          <w:tcPr>
            <w:tcW w:w="0" w:type="auto"/>
            <w:tcBorders>
              <w:top w:val="outset" w:sz="6" w:space="0" w:color="auto"/>
              <w:left w:val="outset" w:sz="6" w:space="0" w:color="auto"/>
              <w:bottom w:val="outset" w:sz="6" w:space="0" w:color="auto"/>
              <w:right w:val="outset" w:sz="6" w:space="0" w:color="auto"/>
            </w:tcBorders>
            <w:vAlign w:val="center"/>
          </w:tcPr>
          <w:p w14:paraId="4A24B3CC" w14:textId="6B8A0307" w:rsidR="00257891" w:rsidRDefault="007D25DF">
            <w:pPr>
              <w:rPr>
                <w:rFonts w:ascii="Arial" w:eastAsia="Arial" w:hAnsi="Arial" w:cs="Arial"/>
                <w:color w:val="000000"/>
                <w:sz w:val="20"/>
                <w:szCs w:val="20"/>
              </w:rPr>
            </w:pPr>
            <w:r>
              <w:rPr>
                <w:rFonts w:ascii="Arial" w:eastAsia="Arial" w:hAnsi="Arial" w:cs="Arial"/>
                <w:color w:val="000000"/>
                <w:sz w:val="20"/>
                <w:szCs w:val="20"/>
              </w:rPr>
              <w:t>8</w:t>
            </w:r>
            <w:r w:rsidR="00D46D25">
              <w:rPr>
                <w:rFonts w:ascii="Arial" w:eastAsia="Arial" w:hAnsi="Arial" w:cs="Arial"/>
                <w:color w:val="000000"/>
                <w:sz w:val="20"/>
                <w:szCs w:val="20"/>
              </w:rPr>
              <w:t xml:space="preserve">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7D128348" w14:textId="5C90ECA4" w:rsidR="00257891" w:rsidRDefault="00594C99">
            <w:pPr>
              <w:rPr>
                <w:rFonts w:ascii="Arial" w:eastAsia="Arial" w:hAnsi="Arial" w:cs="Arial"/>
                <w:color w:val="000000"/>
                <w:sz w:val="20"/>
                <w:szCs w:val="20"/>
              </w:rPr>
            </w:pPr>
            <w:r>
              <w:rPr>
                <w:rFonts w:ascii="Arial" w:eastAsia="Arial" w:hAnsi="Arial" w:cs="Arial"/>
                <w:color w:val="000000"/>
                <w:sz w:val="20"/>
                <w:szCs w:val="20"/>
              </w:rPr>
              <w:t>8</w:t>
            </w:r>
            <w:r w:rsidR="00D46D25">
              <w:rPr>
                <w:rFonts w:ascii="Arial" w:eastAsia="Arial" w:hAnsi="Arial" w:cs="Arial"/>
                <w:color w:val="000000"/>
                <w:sz w:val="20"/>
                <w:szCs w:val="20"/>
              </w:rPr>
              <w:t xml:space="preserve">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4A4349C1" w14:textId="29503408" w:rsidR="00257891" w:rsidRDefault="006C5228">
            <w:pPr>
              <w:rPr>
                <w:rFonts w:ascii="Arial" w:eastAsia="Arial" w:hAnsi="Arial" w:cs="Arial"/>
                <w:color w:val="000000"/>
                <w:sz w:val="20"/>
                <w:szCs w:val="20"/>
              </w:rPr>
            </w:pPr>
            <w:r>
              <w:rPr>
                <w:rFonts w:ascii="Arial" w:eastAsia="Arial" w:hAnsi="Arial" w:cs="Arial"/>
                <w:color w:val="000000"/>
                <w:sz w:val="20"/>
                <w:szCs w:val="20"/>
              </w:rPr>
              <w:t>Editorial amendments, changes to clarify process gaps, and to identify points at which this Policy may draw upon the provisions of the Student Conduct Policy in response to behavioural concerns and changes to reflect amendments made to the Vice-Chancellor Regulation</w:t>
            </w:r>
          </w:p>
        </w:tc>
      </w:tr>
      <w:tr w:rsidR="00D84FBE" w14:paraId="533A349E" w14:textId="77777777">
        <w:tc>
          <w:tcPr>
            <w:tcW w:w="0" w:type="auto"/>
            <w:tcBorders>
              <w:top w:val="outset" w:sz="6" w:space="0" w:color="auto"/>
              <w:left w:val="outset" w:sz="6" w:space="0" w:color="auto"/>
              <w:bottom w:val="outset" w:sz="6" w:space="0" w:color="auto"/>
              <w:right w:val="outset" w:sz="6" w:space="0" w:color="auto"/>
            </w:tcBorders>
            <w:vAlign w:val="center"/>
          </w:tcPr>
          <w:p w14:paraId="75EA5E16" w14:textId="7B016324" w:rsidR="00D84FBE" w:rsidRDefault="00D84FBE">
            <w:pPr>
              <w:rPr>
                <w:rFonts w:ascii="Arial" w:eastAsia="Arial" w:hAnsi="Arial" w:cs="Arial"/>
                <w:color w:val="000000"/>
                <w:sz w:val="20"/>
                <w:szCs w:val="20"/>
              </w:rPr>
            </w:pPr>
            <w:r>
              <w:rPr>
                <w:rFonts w:ascii="Arial" w:eastAsia="Arial" w:hAnsi="Arial"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3B285CB1" w14:textId="4C95FF89" w:rsidR="00D84FBE" w:rsidRDefault="00D84FBE">
            <w:pPr>
              <w:rPr>
                <w:rFonts w:ascii="Arial" w:eastAsia="Arial" w:hAnsi="Arial" w:cs="Arial"/>
                <w:color w:val="000000"/>
                <w:sz w:val="20"/>
                <w:szCs w:val="20"/>
              </w:rPr>
            </w:pPr>
            <w:r>
              <w:rPr>
                <w:rFonts w:ascii="Arial" w:eastAsia="Arial" w:hAnsi="Arial" w:cs="Arial"/>
                <w:color w:val="000000"/>
                <w:sz w:val="20"/>
                <w:szCs w:val="20"/>
              </w:rPr>
              <w:t>Principal Adviser, Student Conduct</w:t>
            </w:r>
          </w:p>
        </w:tc>
        <w:tc>
          <w:tcPr>
            <w:tcW w:w="0" w:type="auto"/>
            <w:tcBorders>
              <w:top w:val="outset" w:sz="6" w:space="0" w:color="auto"/>
              <w:left w:val="outset" w:sz="6" w:space="0" w:color="auto"/>
              <w:bottom w:val="outset" w:sz="6" w:space="0" w:color="auto"/>
              <w:right w:val="outset" w:sz="6" w:space="0" w:color="auto"/>
            </w:tcBorders>
            <w:vAlign w:val="center"/>
          </w:tcPr>
          <w:p w14:paraId="1678BEF5" w14:textId="77397E36" w:rsidR="00D84FBE" w:rsidRDefault="00296CF9">
            <w:pPr>
              <w:rPr>
                <w:rFonts w:ascii="Arial" w:eastAsia="Arial" w:hAnsi="Arial" w:cs="Arial"/>
                <w:color w:val="000000"/>
                <w:sz w:val="20"/>
                <w:szCs w:val="20"/>
              </w:rPr>
            </w:pPr>
            <w:r>
              <w:rPr>
                <w:rFonts w:ascii="Arial" w:eastAsia="Arial" w:hAnsi="Arial" w:cs="Arial"/>
                <w:color w:val="000000"/>
                <w:sz w:val="20"/>
                <w:szCs w:val="20"/>
              </w:rPr>
              <w:t>9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31426983" w14:textId="6FAD2B16" w:rsidR="00D84FBE" w:rsidRDefault="00296CF9">
            <w:pPr>
              <w:rPr>
                <w:rFonts w:ascii="Arial" w:eastAsia="Arial" w:hAnsi="Arial" w:cs="Arial"/>
                <w:color w:val="000000"/>
                <w:sz w:val="20"/>
                <w:szCs w:val="20"/>
              </w:rPr>
            </w:pPr>
            <w:r>
              <w:rPr>
                <w:rFonts w:ascii="Arial" w:eastAsia="Arial" w:hAnsi="Arial" w:cs="Arial"/>
                <w:color w:val="000000"/>
                <w:sz w:val="20"/>
                <w:szCs w:val="20"/>
              </w:rPr>
              <w:t>9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5BD69C62" w14:textId="18E1BE49" w:rsidR="00D84FBE" w:rsidRDefault="00296CF9">
            <w:pPr>
              <w:rPr>
                <w:rFonts w:ascii="Arial" w:eastAsia="Arial" w:hAnsi="Arial" w:cs="Arial"/>
                <w:color w:val="000000"/>
                <w:sz w:val="20"/>
                <w:szCs w:val="20"/>
              </w:rPr>
            </w:pPr>
            <w:r>
              <w:rPr>
                <w:rFonts w:ascii="Arial" w:eastAsia="Arial" w:hAnsi="Arial" w:cs="Arial"/>
                <w:color w:val="000000"/>
                <w:sz w:val="20"/>
                <w:szCs w:val="20"/>
              </w:rPr>
              <w:t>Editorial amendme</w:t>
            </w:r>
            <w:bookmarkStart w:id="0" w:name="_GoBack"/>
            <w:bookmarkEnd w:id="0"/>
            <w:r>
              <w:rPr>
                <w:rFonts w:ascii="Arial" w:eastAsia="Arial" w:hAnsi="Arial" w:cs="Arial"/>
                <w:color w:val="000000"/>
                <w:sz w:val="20"/>
                <w:szCs w:val="20"/>
              </w:rPr>
              <w:t>nts</w:t>
            </w:r>
            <w:r w:rsidR="00646795">
              <w:rPr>
                <w:rFonts w:ascii="Arial" w:eastAsia="Arial" w:hAnsi="Arial" w:cs="Arial"/>
                <w:color w:val="000000"/>
                <w:sz w:val="20"/>
                <w:szCs w:val="20"/>
              </w:rPr>
              <w:t>.</w:t>
            </w:r>
          </w:p>
        </w:tc>
      </w:tr>
    </w:tbl>
    <w:p w14:paraId="2F59BC33" w14:textId="77777777" w:rsidR="00982D06" w:rsidRDefault="00982D06">
      <w:pPr>
        <w:spacing w:after="160"/>
      </w:pPr>
    </w:p>
    <w:sectPr w:rsidR="00982D06">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08" w:footer="40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5044" w16cex:dateUtc="2023-01-05T02:33:00Z"/>
  <w16cex:commentExtensible w16cex:durableId="27615071" w16cex:dateUtc="2023-01-05T02:34:00Z"/>
  <w16cex:commentExtensible w16cex:durableId="2761509D" w16cex:dateUtc="2023-01-05T02:35:00Z"/>
  <w16cex:commentExtensible w16cex:durableId="27615155" w16cex:dateUtc="2023-01-05T02:38:00Z"/>
  <w16cex:commentExtensible w16cex:durableId="276151B7" w16cex:dateUtc="2023-01-05T02:40:00Z"/>
  <w16cex:commentExtensible w16cex:durableId="27615141" w16cex:dateUtc="2023-01-05T02:38:00Z"/>
  <w16cex:commentExtensible w16cex:durableId="2761513C" w16cex:dateUtc="2023-01-05T02:38:00Z"/>
  <w16cex:commentExtensible w16cex:durableId="27615132" w16cex:dateUtc="2023-01-05T02:37:00Z"/>
  <w16cex:commentExtensible w16cex:durableId="27615137" w16cex:dateUtc="2023-01-05T02:37:00Z"/>
  <w16cex:commentExtensible w16cex:durableId="276151CB" w16cex:dateUtc="2023-01-05T02:40:00Z"/>
  <w16cex:commentExtensible w16cex:durableId="276151D0" w16cex:dateUtc="2023-01-05T02:40:00Z"/>
  <w16cex:commentExtensible w16cex:durableId="276151D4" w16cex:dateUtc="2023-01-05T0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6F99" w14:textId="77777777" w:rsidR="00744914" w:rsidRDefault="00744914">
      <w:r>
        <w:separator/>
      </w:r>
    </w:p>
  </w:endnote>
  <w:endnote w:type="continuationSeparator" w:id="0">
    <w:p w14:paraId="0E8FF89A" w14:textId="77777777" w:rsidR="00744914" w:rsidRDefault="00744914">
      <w:r>
        <w:continuationSeparator/>
      </w:r>
    </w:p>
  </w:endnote>
  <w:endnote w:type="continuationNotice" w:id="1">
    <w:p w14:paraId="062456CB" w14:textId="77777777" w:rsidR="00744914" w:rsidRDefault="00744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C300" w14:textId="77777777" w:rsidR="00483FD9" w:rsidRDefault="00483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FAFC" w14:textId="77777777" w:rsidR="00982D06" w:rsidRDefault="00D96E42">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4F5676">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4F5676">
      <w:rPr>
        <w:rFonts w:ascii="Arial" w:eastAsia="Arial" w:hAnsi="Arial" w:cs="Arial"/>
        <w:noProof/>
        <w:color w:val="000000"/>
        <w:sz w:val="18"/>
      </w:rPr>
      <w:t>2</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5EEB" w14:textId="77777777" w:rsidR="00483FD9" w:rsidRDefault="0048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92CE" w14:textId="77777777" w:rsidR="00744914" w:rsidRDefault="00744914">
      <w:r>
        <w:separator/>
      </w:r>
    </w:p>
  </w:footnote>
  <w:footnote w:type="continuationSeparator" w:id="0">
    <w:p w14:paraId="2BA27BE2" w14:textId="77777777" w:rsidR="00744914" w:rsidRDefault="00744914">
      <w:r>
        <w:continuationSeparator/>
      </w:r>
    </w:p>
  </w:footnote>
  <w:footnote w:type="continuationNotice" w:id="1">
    <w:p w14:paraId="65730BB5" w14:textId="77777777" w:rsidR="00744914" w:rsidRDefault="00744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8230" w14:textId="77777777" w:rsidR="00483FD9" w:rsidRDefault="00483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BA5E" w14:textId="77777777" w:rsidR="00483FD9" w:rsidRDefault="00483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AB08" w14:textId="77777777" w:rsidR="00483FD9" w:rsidRDefault="00483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35648B16">
      <w:start w:val="1"/>
      <w:numFmt w:val="bullet"/>
      <w:lvlText w:val=""/>
      <w:lvlJc w:val="left"/>
      <w:pPr>
        <w:tabs>
          <w:tab w:val="num" w:pos="720"/>
        </w:tabs>
        <w:ind w:left="720" w:hanging="360"/>
      </w:pPr>
      <w:rPr>
        <w:rFonts w:ascii="Symbol" w:hAnsi="Symbol"/>
      </w:rPr>
    </w:lvl>
    <w:lvl w:ilvl="1" w:tplc="3A148BCE">
      <w:start w:val="1"/>
      <w:numFmt w:val="bullet"/>
      <w:lvlText w:val="o"/>
      <w:lvlJc w:val="left"/>
      <w:pPr>
        <w:tabs>
          <w:tab w:val="num" w:pos="1440"/>
        </w:tabs>
        <w:ind w:left="1440" w:hanging="360"/>
      </w:pPr>
      <w:rPr>
        <w:rFonts w:ascii="Courier New" w:hAnsi="Courier New"/>
      </w:rPr>
    </w:lvl>
    <w:lvl w:ilvl="2" w:tplc="C6D45286">
      <w:start w:val="1"/>
      <w:numFmt w:val="bullet"/>
      <w:lvlText w:val=""/>
      <w:lvlJc w:val="left"/>
      <w:pPr>
        <w:tabs>
          <w:tab w:val="num" w:pos="2160"/>
        </w:tabs>
        <w:ind w:left="2160" w:hanging="360"/>
      </w:pPr>
      <w:rPr>
        <w:rFonts w:ascii="Wingdings" w:hAnsi="Wingdings"/>
      </w:rPr>
    </w:lvl>
    <w:lvl w:ilvl="3" w:tplc="569E3E80">
      <w:start w:val="1"/>
      <w:numFmt w:val="bullet"/>
      <w:lvlText w:val=""/>
      <w:lvlJc w:val="left"/>
      <w:pPr>
        <w:tabs>
          <w:tab w:val="num" w:pos="2880"/>
        </w:tabs>
        <w:ind w:left="2880" w:hanging="360"/>
      </w:pPr>
      <w:rPr>
        <w:rFonts w:ascii="Symbol" w:hAnsi="Symbol"/>
      </w:rPr>
    </w:lvl>
    <w:lvl w:ilvl="4" w:tplc="10CCE3B0">
      <w:start w:val="1"/>
      <w:numFmt w:val="bullet"/>
      <w:lvlText w:val="o"/>
      <w:lvlJc w:val="left"/>
      <w:pPr>
        <w:tabs>
          <w:tab w:val="num" w:pos="3600"/>
        </w:tabs>
        <w:ind w:left="3600" w:hanging="360"/>
      </w:pPr>
      <w:rPr>
        <w:rFonts w:ascii="Courier New" w:hAnsi="Courier New"/>
      </w:rPr>
    </w:lvl>
    <w:lvl w:ilvl="5" w:tplc="951E02F4">
      <w:start w:val="1"/>
      <w:numFmt w:val="bullet"/>
      <w:lvlText w:val=""/>
      <w:lvlJc w:val="left"/>
      <w:pPr>
        <w:tabs>
          <w:tab w:val="num" w:pos="4320"/>
        </w:tabs>
        <w:ind w:left="4320" w:hanging="360"/>
      </w:pPr>
      <w:rPr>
        <w:rFonts w:ascii="Wingdings" w:hAnsi="Wingdings"/>
      </w:rPr>
    </w:lvl>
    <w:lvl w:ilvl="6" w:tplc="91447C72">
      <w:start w:val="1"/>
      <w:numFmt w:val="bullet"/>
      <w:lvlText w:val=""/>
      <w:lvlJc w:val="left"/>
      <w:pPr>
        <w:tabs>
          <w:tab w:val="num" w:pos="5040"/>
        </w:tabs>
        <w:ind w:left="5040" w:hanging="360"/>
      </w:pPr>
      <w:rPr>
        <w:rFonts w:ascii="Symbol" w:hAnsi="Symbol"/>
      </w:rPr>
    </w:lvl>
    <w:lvl w:ilvl="7" w:tplc="9CD8A96A">
      <w:start w:val="1"/>
      <w:numFmt w:val="bullet"/>
      <w:lvlText w:val="o"/>
      <w:lvlJc w:val="left"/>
      <w:pPr>
        <w:tabs>
          <w:tab w:val="num" w:pos="5760"/>
        </w:tabs>
        <w:ind w:left="5760" w:hanging="360"/>
      </w:pPr>
      <w:rPr>
        <w:rFonts w:ascii="Courier New" w:hAnsi="Courier New"/>
      </w:rPr>
    </w:lvl>
    <w:lvl w:ilvl="8" w:tplc="F25A10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C388548">
      <w:start w:val="1"/>
      <w:numFmt w:val="bullet"/>
      <w:lvlText w:val=""/>
      <w:lvlJc w:val="left"/>
      <w:pPr>
        <w:tabs>
          <w:tab w:val="num" w:pos="720"/>
        </w:tabs>
        <w:ind w:left="720" w:hanging="360"/>
      </w:pPr>
      <w:rPr>
        <w:rFonts w:ascii="Symbol" w:hAnsi="Symbol"/>
      </w:rPr>
    </w:lvl>
    <w:lvl w:ilvl="1" w:tplc="BD1A0700">
      <w:start w:val="1"/>
      <w:numFmt w:val="bullet"/>
      <w:lvlText w:val="o"/>
      <w:lvlJc w:val="left"/>
      <w:pPr>
        <w:tabs>
          <w:tab w:val="num" w:pos="1440"/>
        </w:tabs>
        <w:ind w:left="1440" w:hanging="360"/>
      </w:pPr>
      <w:rPr>
        <w:rFonts w:ascii="Courier New" w:hAnsi="Courier New"/>
      </w:rPr>
    </w:lvl>
    <w:lvl w:ilvl="2" w:tplc="0C2C6250">
      <w:start w:val="1"/>
      <w:numFmt w:val="bullet"/>
      <w:lvlText w:val=""/>
      <w:lvlJc w:val="left"/>
      <w:pPr>
        <w:tabs>
          <w:tab w:val="num" w:pos="2160"/>
        </w:tabs>
        <w:ind w:left="2160" w:hanging="360"/>
      </w:pPr>
      <w:rPr>
        <w:rFonts w:ascii="Wingdings" w:hAnsi="Wingdings"/>
      </w:rPr>
    </w:lvl>
    <w:lvl w:ilvl="3" w:tplc="F434215E">
      <w:start w:val="1"/>
      <w:numFmt w:val="bullet"/>
      <w:lvlText w:val=""/>
      <w:lvlJc w:val="left"/>
      <w:pPr>
        <w:tabs>
          <w:tab w:val="num" w:pos="2880"/>
        </w:tabs>
        <w:ind w:left="2880" w:hanging="360"/>
      </w:pPr>
      <w:rPr>
        <w:rFonts w:ascii="Symbol" w:hAnsi="Symbol"/>
      </w:rPr>
    </w:lvl>
    <w:lvl w:ilvl="4" w:tplc="9738A676">
      <w:start w:val="1"/>
      <w:numFmt w:val="bullet"/>
      <w:lvlText w:val="o"/>
      <w:lvlJc w:val="left"/>
      <w:pPr>
        <w:tabs>
          <w:tab w:val="num" w:pos="3600"/>
        </w:tabs>
        <w:ind w:left="3600" w:hanging="360"/>
      </w:pPr>
      <w:rPr>
        <w:rFonts w:ascii="Courier New" w:hAnsi="Courier New"/>
      </w:rPr>
    </w:lvl>
    <w:lvl w:ilvl="5" w:tplc="ABF0A25A">
      <w:start w:val="1"/>
      <w:numFmt w:val="bullet"/>
      <w:lvlText w:val=""/>
      <w:lvlJc w:val="left"/>
      <w:pPr>
        <w:tabs>
          <w:tab w:val="num" w:pos="4320"/>
        </w:tabs>
        <w:ind w:left="4320" w:hanging="360"/>
      </w:pPr>
      <w:rPr>
        <w:rFonts w:ascii="Wingdings" w:hAnsi="Wingdings"/>
      </w:rPr>
    </w:lvl>
    <w:lvl w:ilvl="6" w:tplc="08B8BB5A">
      <w:start w:val="1"/>
      <w:numFmt w:val="bullet"/>
      <w:lvlText w:val=""/>
      <w:lvlJc w:val="left"/>
      <w:pPr>
        <w:tabs>
          <w:tab w:val="num" w:pos="5040"/>
        </w:tabs>
        <w:ind w:left="5040" w:hanging="360"/>
      </w:pPr>
      <w:rPr>
        <w:rFonts w:ascii="Symbol" w:hAnsi="Symbol"/>
      </w:rPr>
    </w:lvl>
    <w:lvl w:ilvl="7" w:tplc="1FB0F632">
      <w:start w:val="1"/>
      <w:numFmt w:val="bullet"/>
      <w:lvlText w:val="o"/>
      <w:lvlJc w:val="left"/>
      <w:pPr>
        <w:tabs>
          <w:tab w:val="num" w:pos="5760"/>
        </w:tabs>
        <w:ind w:left="5760" w:hanging="360"/>
      </w:pPr>
      <w:rPr>
        <w:rFonts w:ascii="Courier New" w:hAnsi="Courier New"/>
      </w:rPr>
    </w:lvl>
    <w:lvl w:ilvl="8" w:tplc="6064510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95ECFE8">
      <w:start w:val="1"/>
      <w:numFmt w:val="bullet"/>
      <w:lvlText w:val=""/>
      <w:lvlJc w:val="left"/>
      <w:pPr>
        <w:tabs>
          <w:tab w:val="num" w:pos="720"/>
        </w:tabs>
        <w:ind w:left="720" w:hanging="360"/>
      </w:pPr>
      <w:rPr>
        <w:rFonts w:ascii="Symbol" w:hAnsi="Symbol"/>
      </w:rPr>
    </w:lvl>
    <w:lvl w:ilvl="1" w:tplc="B138200C">
      <w:start w:val="1"/>
      <w:numFmt w:val="bullet"/>
      <w:lvlText w:val="o"/>
      <w:lvlJc w:val="left"/>
      <w:pPr>
        <w:tabs>
          <w:tab w:val="num" w:pos="1440"/>
        </w:tabs>
        <w:ind w:left="1440" w:hanging="360"/>
      </w:pPr>
      <w:rPr>
        <w:rFonts w:ascii="Courier New" w:hAnsi="Courier New"/>
      </w:rPr>
    </w:lvl>
    <w:lvl w:ilvl="2" w:tplc="F28432EC">
      <w:start w:val="1"/>
      <w:numFmt w:val="bullet"/>
      <w:lvlText w:val=""/>
      <w:lvlJc w:val="left"/>
      <w:pPr>
        <w:tabs>
          <w:tab w:val="num" w:pos="2160"/>
        </w:tabs>
        <w:ind w:left="2160" w:hanging="360"/>
      </w:pPr>
      <w:rPr>
        <w:rFonts w:ascii="Wingdings" w:hAnsi="Wingdings"/>
      </w:rPr>
    </w:lvl>
    <w:lvl w:ilvl="3" w:tplc="D348272E">
      <w:start w:val="1"/>
      <w:numFmt w:val="bullet"/>
      <w:lvlText w:val=""/>
      <w:lvlJc w:val="left"/>
      <w:pPr>
        <w:tabs>
          <w:tab w:val="num" w:pos="2880"/>
        </w:tabs>
        <w:ind w:left="2880" w:hanging="360"/>
      </w:pPr>
      <w:rPr>
        <w:rFonts w:ascii="Symbol" w:hAnsi="Symbol"/>
      </w:rPr>
    </w:lvl>
    <w:lvl w:ilvl="4" w:tplc="9C5865FE">
      <w:start w:val="1"/>
      <w:numFmt w:val="bullet"/>
      <w:lvlText w:val="o"/>
      <w:lvlJc w:val="left"/>
      <w:pPr>
        <w:tabs>
          <w:tab w:val="num" w:pos="3600"/>
        </w:tabs>
        <w:ind w:left="3600" w:hanging="360"/>
      </w:pPr>
      <w:rPr>
        <w:rFonts w:ascii="Courier New" w:hAnsi="Courier New"/>
      </w:rPr>
    </w:lvl>
    <w:lvl w:ilvl="5" w:tplc="2578CD98">
      <w:start w:val="1"/>
      <w:numFmt w:val="bullet"/>
      <w:lvlText w:val=""/>
      <w:lvlJc w:val="left"/>
      <w:pPr>
        <w:tabs>
          <w:tab w:val="num" w:pos="4320"/>
        </w:tabs>
        <w:ind w:left="4320" w:hanging="360"/>
      </w:pPr>
      <w:rPr>
        <w:rFonts w:ascii="Wingdings" w:hAnsi="Wingdings"/>
      </w:rPr>
    </w:lvl>
    <w:lvl w:ilvl="6" w:tplc="C4FC6954">
      <w:start w:val="1"/>
      <w:numFmt w:val="bullet"/>
      <w:lvlText w:val=""/>
      <w:lvlJc w:val="left"/>
      <w:pPr>
        <w:tabs>
          <w:tab w:val="num" w:pos="5040"/>
        </w:tabs>
        <w:ind w:left="5040" w:hanging="360"/>
      </w:pPr>
      <w:rPr>
        <w:rFonts w:ascii="Symbol" w:hAnsi="Symbol"/>
      </w:rPr>
    </w:lvl>
    <w:lvl w:ilvl="7" w:tplc="291EC8E0">
      <w:start w:val="1"/>
      <w:numFmt w:val="bullet"/>
      <w:lvlText w:val="o"/>
      <w:lvlJc w:val="left"/>
      <w:pPr>
        <w:tabs>
          <w:tab w:val="num" w:pos="5760"/>
        </w:tabs>
        <w:ind w:left="5760" w:hanging="360"/>
      </w:pPr>
      <w:rPr>
        <w:rFonts w:ascii="Courier New" w:hAnsi="Courier New"/>
      </w:rPr>
    </w:lvl>
    <w:lvl w:ilvl="8" w:tplc="D6169CB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F4CD0C8">
      <w:start w:val="1"/>
      <w:numFmt w:val="bullet"/>
      <w:lvlText w:val=""/>
      <w:lvlJc w:val="left"/>
      <w:pPr>
        <w:tabs>
          <w:tab w:val="num" w:pos="720"/>
        </w:tabs>
        <w:ind w:left="720" w:hanging="360"/>
      </w:pPr>
      <w:rPr>
        <w:rFonts w:ascii="Symbol" w:hAnsi="Symbol"/>
      </w:rPr>
    </w:lvl>
    <w:lvl w:ilvl="1" w:tplc="FEE2AC86">
      <w:start w:val="1"/>
      <w:numFmt w:val="bullet"/>
      <w:lvlText w:val="o"/>
      <w:lvlJc w:val="left"/>
      <w:pPr>
        <w:tabs>
          <w:tab w:val="num" w:pos="1440"/>
        </w:tabs>
        <w:ind w:left="1440" w:hanging="360"/>
      </w:pPr>
      <w:rPr>
        <w:rFonts w:ascii="Courier New" w:hAnsi="Courier New"/>
      </w:rPr>
    </w:lvl>
    <w:lvl w:ilvl="2" w:tplc="0D165F10">
      <w:start w:val="1"/>
      <w:numFmt w:val="bullet"/>
      <w:lvlText w:val=""/>
      <w:lvlJc w:val="left"/>
      <w:pPr>
        <w:tabs>
          <w:tab w:val="num" w:pos="2160"/>
        </w:tabs>
        <w:ind w:left="2160" w:hanging="360"/>
      </w:pPr>
      <w:rPr>
        <w:rFonts w:ascii="Wingdings" w:hAnsi="Wingdings"/>
      </w:rPr>
    </w:lvl>
    <w:lvl w:ilvl="3" w:tplc="84508516">
      <w:start w:val="1"/>
      <w:numFmt w:val="bullet"/>
      <w:lvlText w:val=""/>
      <w:lvlJc w:val="left"/>
      <w:pPr>
        <w:tabs>
          <w:tab w:val="num" w:pos="2880"/>
        </w:tabs>
        <w:ind w:left="2880" w:hanging="360"/>
      </w:pPr>
      <w:rPr>
        <w:rFonts w:ascii="Symbol" w:hAnsi="Symbol"/>
      </w:rPr>
    </w:lvl>
    <w:lvl w:ilvl="4" w:tplc="37588C90">
      <w:start w:val="1"/>
      <w:numFmt w:val="bullet"/>
      <w:lvlText w:val="o"/>
      <w:lvlJc w:val="left"/>
      <w:pPr>
        <w:tabs>
          <w:tab w:val="num" w:pos="3600"/>
        </w:tabs>
        <w:ind w:left="3600" w:hanging="360"/>
      </w:pPr>
      <w:rPr>
        <w:rFonts w:ascii="Courier New" w:hAnsi="Courier New"/>
      </w:rPr>
    </w:lvl>
    <w:lvl w:ilvl="5" w:tplc="EC6A3820">
      <w:start w:val="1"/>
      <w:numFmt w:val="bullet"/>
      <w:lvlText w:val=""/>
      <w:lvlJc w:val="left"/>
      <w:pPr>
        <w:tabs>
          <w:tab w:val="num" w:pos="4320"/>
        </w:tabs>
        <w:ind w:left="4320" w:hanging="360"/>
      </w:pPr>
      <w:rPr>
        <w:rFonts w:ascii="Wingdings" w:hAnsi="Wingdings"/>
      </w:rPr>
    </w:lvl>
    <w:lvl w:ilvl="6" w:tplc="7CB80C68">
      <w:start w:val="1"/>
      <w:numFmt w:val="bullet"/>
      <w:lvlText w:val=""/>
      <w:lvlJc w:val="left"/>
      <w:pPr>
        <w:tabs>
          <w:tab w:val="num" w:pos="5040"/>
        </w:tabs>
        <w:ind w:left="5040" w:hanging="360"/>
      </w:pPr>
      <w:rPr>
        <w:rFonts w:ascii="Symbol" w:hAnsi="Symbol"/>
      </w:rPr>
    </w:lvl>
    <w:lvl w:ilvl="7" w:tplc="32067998">
      <w:start w:val="1"/>
      <w:numFmt w:val="bullet"/>
      <w:lvlText w:val="o"/>
      <w:lvlJc w:val="left"/>
      <w:pPr>
        <w:tabs>
          <w:tab w:val="num" w:pos="5760"/>
        </w:tabs>
        <w:ind w:left="5760" w:hanging="360"/>
      </w:pPr>
      <w:rPr>
        <w:rFonts w:ascii="Courier New" w:hAnsi="Courier New"/>
      </w:rPr>
    </w:lvl>
    <w:lvl w:ilvl="8" w:tplc="5B28806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BBE"/>
    <w:rsid w:val="00003979"/>
    <w:rsid w:val="00030C6B"/>
    <w:rsid w:val="00030EE2"/>
    <w:rsid w:val="00045124"/>
    <w:rsid w:val="0005304D"/>
    <w:rsid w:val="00055418"/>
    <w:rsid w:val="000B2937"/>
    <w:rsid w:val="000F262F"/>
    <w:rsid w:val="000F2709"/>
    <w:rsid w:val="001148BA"/>
    <w:rsid w:val="00117E4C"/>
    <w:rsid w:val="00143311"/>
    <w:rsid w:val="001442A0"/>
    <w:rsid w:val="00177600"/>
    <w:rsid w:val="0018277B"/>
    <w:rsid w:val="001A0455"/>
    <w:rsid w:val="001A2998"/>
    <w:rsid w:val="001A309A"/>
    <w:rsid w:val="001A6B80"/>
    <w:rsid w:val="001D344B"/>
    <w:rsid w:val="001F0483"/>
    <w:rsid w:val="001F78C1"/>
    <w:rsid w:val="0021213B"/>
    <w:rsid w:val="00241073"/>
    <w:rsid w:val="00257891"/>
    <w:rsid w:val="00267714"/>
    <w:rsid w:val="00296CF9"/>
    <w:rsid w:val="002B1824"/>
    <w:rsid w:val="002D0E16"/>
    <w:rsid w:val="00311094"/>
    <w:rsid w:val="003169E7"/>
    <w:rsid w:val="00324726"/>
    <w:rsid w:val="00357CA8"/>
    <w:rsid w:val="00372723"/>
    <w:rsid w:val="0037697B"/>
    <w:rsid w:val="0039615D"/>
    <w:rsid w:val="003A1E73"/>
    <w:rsid w:val="003A769C"/>
    <w:rsid w:val="003B08EB"/>
    <w:rsid w:val="003B3F30"/>
    <w:rsid w:val="003D2A3D"/>
    <w:rsid w:val="003E697D"/>
    <w:rsid w:val="004042EA"/>
    <w:rsid w:val="00414C21"/>
    <w:rsid w:val="00427625"/>
    <w:rsid w:val="00435AB6"/>
    <w:rsid w:val="004635DC"/>
    <w:rsid w:val="004725CE"/>
    <w:rsid w:val="00483FD9"/>
    <w:rsid w:val="00485008"/>
    <w:rsid w:val="004B621C"/>
    <w:rsid w:val="004C0732"/>
    <w:rsid w:val="004E23DC"/>
    <w:rsid w:val="004F1099"/>
    <w:rsid w:val="004F5676"/>
    <w:rsid w:val="005116A2"/>
    <w:rsid w:val="005330CD"/>
    <w:rsid w:val="0055522C"/>
    <w:rsid w:val="005626B9"/>
    <w:rsid w:val="00582859"/>
    <w:rsid w:val="00594C99"/>
    <w:rsid w:val="005B32A6"/>
    <w:rsid w:val="005B6A7B"/>
    <w:rsid w:val="005D1A95"/>
    <w:rsid w:val="006202A8"/>
    <w:rsid w:val="00646795"/>
    <w:rsid w:val="00672330"/>
    <w:rsid w:val="00672DEB"/>
    <w:rsid w:val="006A592A"/>
    <w:rsid w:val="006B31F9"/>
    <w:rsid w:val="006C5228"/>
    <w:rsid w:val="006F55CB"/>
    <w:rsid w:val="00713B0D"/>
    <w:rsid w:val="0071796C"/>
    <w:rsid w:val="00720130"/>
    <w:rsid w:val="00723484"/>
    <w:rsid w:val="00744914"/>
    <w:rsid w:val="007935C4"/>
    <w:rsid w:val="007A5420"/>
    <w:rsid w:val="007C0525"/>
    <w:rsid w:val="007D25DF"/>
    <w:rsid w:val="007E2849"/>
    <w:rsid w:val="007F08F4"/>
    <w:rsid w:val="007F35CF"/>
    <w:rsid w:val="00844523"/>
    <w:rsid w:val="00846E0C"/>
    <w:rsid w:val="00886449"/>
    <w:rsid w:val="0089221E"/>
    <w:rsid w:val="00893644"/>
    <w:rsid w:val="008A2D8E"/>
    <w:rsid w:val="008B14D1"/>
    <w:rsid w:val="008C01D0"/>
    <w:rsid w:val="008C368E"/>
    <w:rsid w:val="008E38E4"/>
    <w:rsid w:val="00914606"/>
    <w:rsid w:val="009470C3"/>
    <w:rsid w:val="0095170F"/>
    <w:rsid w:val="00964598"/>
    <w:rsid w:val="0097103F"/>
    <w:rsid w:val="00977C86"/>
    <w:rsid w:val="00982D06"/>
    <w:rsid w:val="009B4FA5"/>
    <w:rsid w:val="009C2AE4"/>
    <w:rsid w:val="009F2F5C"/>
    <w:rsid w:val="00A4322C"/>
    <w:rsid w:val="00A474F0"/>
    <w:rsid w:val="00A51F68"/>
    <w:rsid w:val="00A60622"/>
    <w:rsid w:val="00A70ABA"/>
    <w:rsid w:val="00A77B3E"/>
    <w:rsid w:val="00A80F1B"/>
    <w:rsid w:val="00A842F3"/>
    <w:rsid w:val="00AB4429"/>
    <w:rsid w:val="00AE1AA3"/>
    <w:rsid w:val="00AF5B06"/>
    <w:rsid w:val="00AF5BD9"/>
    <w:rsid w:val="00B00088"/>
    <w:rsid w:val="00B03AB2"/>
    <w:rsid w:val="00B36290"/>
    <w:rsid w:val="00B467DC"/>
    <w:rsid w:val="00B51BB9"/>
    <w:rsid w:val="00B83136"/>
    <w:rsid w:val="00BB7D01"/>
    <w:rsid w:val="00BD0024"/>
    <w:rsid w:val="00BD5341"/>
    <w:rsid w:val="00C05464"/>
    <w:rsid w:val="00C36398"/>
    <w:rsid w:val="00C40417"/>
    <w:rsid w:val="00C40DAA"/>
    <w:rsid w:val="00C41901"/>
    <w:rsid w:val="00C60208"/>
    <w:rsid w:val="00C62E24"/>
    <w:rsid w:val="00C84049"/>
    <w:rsid w:val="00C9164D"/>
    <w:rsid w:val="00C92D8E"/>
    <w:rsid w:val="00CB4A4E"/>
    <w:rsid w:val="00CC3B9F"/>
    <w:rsid w:val="00CC406A"/>
    <w:rsid w:val="00CE44E6"/>
    <w:rsid w:val="00CE74DB"/>
    <w:rsid w:val="00CF1A58"/>
    <w:rsid w:val="00D02593"/>
    <w:rsid w:val="00D17ADB"/>
    <w:rsid w:val="00D401A5"/>
    <w:rsid w:val="00D465E5"/>
    <w:rsid w:val="00D46D25"/>
    <w:rsid w:val="00D50020"/>
    <w:rsid w:val="00D53097"/>
    <w:rsid w:val="00D62AE5"/>
    <w:rsid w:val="00D845E0"/>
    <w:rsid w:val="00D84FBE"/>
    <w:rsid w:val="00D94E72"/>
    <w:rsid w:val="00D96E42"/>
    <w:rsid w:val="00DB064B"/>
    <w:rsid w:val="00E0454B"/>
    <w:rsid w:val="00E068E5"/>
    <w:rsid w:val="00E36DEE"/>
    <w:rsid w:val="00EA3CE7"/>
    <w:rsid w:val="00EB31D4"/>
    <w:rsid w:val="00ED50F3"/>
    <w:rsid w:val="00EE5CCB"/>
    <w:rsid w:val="00EE749F"/>
    <w:rsid w:val="00F06C60"/>
    <w:rsid w:val="00F149B7"/>
    <w:rsid w:val="00F25697"/>
    <w:rsid w:val="00F527B9"/>
    <w:rsid w:val="00F863B4"/>
    <w:rsid w:val="00FA0F98"/>
    <w:rsid w:val="00FB4BE8"/>
    <w:rsid w:val="00FB663F"/>
    <w:rsid w:val="00FD0DCF"/>
    <w:rsid w:val="0B25916A"/>
    <w:rsid w:val="0EB1BB48"/>
    <w:rsid w:val="1ABB9182"/>
    <w:rsid w:val="1DD33E97"/>
    <w:rsid w:val="2361F4FC"/>
    <w:rsid w:val="23BEE5AE"/>
    <w:rsid w:val="26FD09E9"/>
    <w:rsid w:val="28251533"/>
    <w:rsid w:val="2FC1D0B0"/>
    <w:rsid w:val="306142E4"/>
    <w:rsid w:val="34AB1031"/>
    <w:rsid w:val="36108200"/>
    <w:rsid w:val="36B4C2FE"/>
    <w:rsid w:val="45BACCCE"/>
    <w:rsid w:val="48BC2141"/>
    <w:rsid w:val="4BB03FD8"/>
    <w:rsid w:val="4CC26AB4"/>
    <w:rsid w:val="53782228"/>
    <w:rsid w:val="54952A5F"/>
    <w:rsid w:val="5A1839BD"/>
    <w:rsid w:val="63FC4CEE"/>
    <w:rsid w:val="64422E51"/>
    <w:rsid w:val="644E2F8D"/>
    <w:rsid w:val="6647D4A6"/>
    <w:rsid w:val="6865A5EB"/>
    <w:rsid w:val="6F2E7268"/>
    <w:rsid w:val="7EA10BFB"/>
  </w:rsids>
  <m:mathPr>
    <m:mathFont m:val="Cambria Math"/>
    <m:brkBin m:val="before"/>
    <m:brkBinSub m:val="--"/>
    <m:smallFrac m:val="0"/>
    <m:dispDef/>
    <m:lMargin m:val="0"/>
    <m:rMargin m:val="0"/>
    <m:defJc m:val="centerGroup"/>
    <m:wrapRight/>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29C49B"/>
  <w15:chartTrackingRefBased/>
  <w15:docId w15:val="{2F32623E-518A-4F0C-8A99-C4F0ED11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000F46"/>
      <w:sz w:val="32"/>
    </w:rPr>
  </w:style>
  <w:style w:type="paragraph" w:styleId="Heading2">
    <w:name w:val="heading 2"/>
    <w:pPr>
      <w:spacing w:after="160"/>
      <w:outlineLvl w:val="1"/>
    </w:pPr>
    <w:rPr>
      <w:rFonts w:ascii="Arial" w:eastAsia="Arial" w:hAnsi="Arial" w:cs="Arial" w:asciiTheme="Source Sans Pro"/>
      <w:b/>
      <w:color w:val="000F46"/>
      <w:sz w:val="28"/>
    </w:rPr>
  </w:style>
  <w:style w:type="paragraph" w:styleId="Heading3">
    <w:name w:val="heading 3"/>
    <w:pPr>
      <w:spacing w:after="160"/>
      <w:outlineLvl w:val="2"/>
    </w:pPr>
    <w:rPr>
      <w:rFonts w:ascii="Arial" w:eastAsia="Arial" w:hAnsi="Arial" w:cs="Arial" w:asciiTheme="Source Sans Pro"/>
      <w:b/>
      <w:color w:val="000F46"/>
      <w:sz w:val="24"/>
    </w:rPr>
  </w:style>
  <w:style w:type="paragraph" w:styleId="Heading4">
    <w:name w:val="heading 4"/>
    <w:pPr>
      <w:spacing w:after="60"/>
      <w:outlineLvl w:val="3"/>
    </w:pPr>
    <w:rPr>
      <w:rFonts w:ascii="Arial" w:eastAsia="Arial" w:hAnsi="Arial" w:cs="Arial" w:asciiTheme="Source Sans Pro"/>
      <w:b/>
      <w:color w:val="000F4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F5676"/>
    <w:rPr>
      <w:sz w:val="24"/>
      <w:szCs w:val="24"/>
    </w:rPr>
  </w:style>
  <w:style w:type="character" w:styleId="CommentReference">
    <w:name w:val="annotation reference"/>
    <w:basedOn w:val="DefaultParagraphFont"/>
    <w:rsid w:val="0089221E"/>
    <w:rPr>
      <w:sz w:val="16"/>
      <w:szCs w:val="16"/>
    </w:rPr>
  </w:style>
  <w:style w:type="paragraph" w:styleId="CommentText">
    <w:name w:val="annotation text"/>
    <w:basedOn w:val="Normal"/>
    <w:link w:val="CommentTextChar"/>
    <w:rsid w:val="0089221E"/>
    <w:rPr>
      <w:sz w:val="20"/>
      <w:szCs w:val="20"/>
    </w:rPr>
  </w:style>
  <w:style w:type="character" w:customStyle="1" w:styleId="CommentTextChar">
    <w:name w:val="Comment Text Char"/>
    <w:basedOn w:val="DefaultParagraphFont"/>
    <w:link w:val="CommentText"/>
    <w:rsid w:val="0089221E"/>
  </w:style>
  <w:style w:type="paragraph" w:styleId="CommentSubject">
    <w:name w:val="annotation subject"/>
    <w:basedOn w:val="CommentText"/>
    <w:next w:val="CommentText"/>
    <w:link w:val="CommentSubjectChar"/>
    <w:rsid w:val="0089221E"/>
    <w:rPr>
      <w:b/>
      <w:bCs/>
    </w:rPr>
  </w:style>
  <w:style w:type="character" w:customStyle="1" w:styleId="CommentSubjectChar">
    <w:name w:val="Comment Subject Char"/>
    <w:basedOn w:val="CommentTextChar"/>
    <w:link w:val="CommentSubject"/>
    <w:rsid w:val="0089221E"/>
    <w:rPr>
      <w:b/>
      <w:bCs/>
    </w:rPr>
  </w:style>
  <w:style w:type="paragraph" w:styleId="Header">
    <w:name w:val="header"/>
    <w:basedOn w:val="Normal"/>
    <w:link w:val="HeaderChar"/>
    <w:rsid w:val="00DB064B"/>
    <w:pPr>
      <w:tabs>
        <w:tab w:val="center" w:pos="4513"/>
        <w:tab w:val="right" w:pos="9026"/>
      </w:tabs>
    </w:pPr>
  </w:style>
  <w:style w:type="character" w:customStyle="1" w:styleId="HeaderChar">
    <w:name w:val="Header Char"/>
    <w:basedOn w:val="DefaultParagraphFont"/>
    <w:link w:val="Header"/>
    <w:rsid w:val="00DB064B"/>
    <w:rPr>
      <w:sz w:val="24"/>
      <w:szCs w:val="24"/>
    </w:rPr>
  </w:style>
  <w:style w:type="paragraph" w:styleId="Footer">
    <w:name w:val="footer"/>
    <w:basedOn w:val="Normal"/>
    <w:link w:val="FooterChar"/>
    <w:rsid w:val="00DB064B"/>
    <w:pPr>
      <w:tabs>
        <w:tab w:val="center" w:pos="4513"/>
        <w:tab w:val="right" w:pos="9026"/>
      </w:tabs>
    </w:pPr>
  </w:style>
  <w:style w:type="character" w:customStyle="1" w:styleId="FooterChar">
    <w:name w:val="Footer Char"/>
    <w:basedOn w:val="DefaultParagraphFont"/>
    <w:link w:val="Footer"/>
    <w:rsid w:val="00DB064B"/>
    <w:rPr>
      <w:sz w:val="24"/>
      <w:szCs w:val="24"/>
    </w:rPr>
  </w:style>
  <w:style w:type="character" w:styleId="Hyperlink">
    <w:name w:val="Hyperlink"/>
    <w:rsid w:val="00003979"/>
    <w:rPr>
      <w:color w:val="0563C1"/>
      <w:u w:val="single"/>
    </w:rPr>
  </w:style>
  <w:style w:type="character" w:styleId="FollowedHyperlink">
    <w:name w:val="FollowedHyperlink"/>
    <w:basedOn w:val="DefaultParagraphFont"/>
    <w:rsid w:val="00003979"/>
    <w:rPr>
      <w:color w:val="954F72" w:themeColor="followedHyperlink"/>
      <w:u w:val="single"/>
    </w:rPr>
  </w:style>
  <w:style w:type="character" w:customStyle="1" w:styleId="cf01">
    <w:name w:val="cf01"/>
    <w:basedOn w:val="DefaultParagraphFont"/>
    <w:rsid w:val="00582859"/>
    <w:rPr>
      <w:rFonts w:ascii="Segoe UI" w:hAnsi="Segoe UI" w:cs="Segoe UI" w:hint="default"/>
      <w:sz w:val="18"/>
      <w:szCs w:val="18"/>
    </w:rPr>
  </w:style>
  <w:style w:type="character" w:styleId="UnresolvedMention">
    <w:name w:val="Unresolved Mention"/>
    <w:basedOn w:val="DefaultParagraphFont"/>
    <w:uiPriority w:val="99"/>
    <w:semiHidden/>
    <w:unhideWhenUsed/>
    <w:rsid w:val="00483FD9"/>
    <w:rPr>
      <w:color w:val="605E5C"/>
      <w:shd w:val="clear" w:color="auto" w:fill="E1DFDD"/>
    </w:rPr>
  </w:style>
  <w:style w:type="paragraph" w:styleId="BalloonText">
    <w:name w:val="Balloon Text"/>
    <w:basedOn w:val="Normal"/>
    <w:link w:val="BalloonTextChar"/>
    <w:rsid w:val="00CC3B9F"/>
    <w:rPr>
      <w:rFonts w:ascii="Segoe UI" w:hAnsi="Segoe UI" w:cs="Segoe UI"/>
      <w:sz w:val="18"/>
      <w:szCs w:val="18"/>
    </w:rPr>
  </w:style>
  <w:style w:type="character" w:customStyle="1" w:styleId="BalloonTextChar">
    <w:name w:val="Balloon Text Char"/>
    <w:basedOn w:val="DefaultParagraphFont"/>
    <w:link w:val="BalloonText"/>
    <w:rsid w:val="00CC3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C:\Users\pandr\Downloads\MPF1321" TargetMode="External"/><Relationship Id="rId18" Type="http://schemas.openxmlformats.org/officeDocument/2006/relationships/hyperlink" Target="https://policy.unimelb.edu.au/MPF1104" TargetMode="External"/><Relationship Id="rId26" Type="http://schemas.openxmlformats.org/officeDocument/2006/relationships/hyperlink" Target="https://about.unimelb.edu.au/__data/assets/pdf_file/0024/374640/Vice-Chancellor-Regulation-v7.pdf" TargetMode="External"/><Relationship Id="rId3" Type="http://schemas.openxmlformats.org/officeDocument/2006/relationships/customXml" Target="../customXml/item3.xml"/><Relationship Id="rId21" Type="http://schemas.openxmlformats.org/officeDocument/2006/relationships/hyperlink" Target="https://about.unimelb.edu.au/__data/assets/pdf_file/0032/374639/Academic-Board-Regulation-v11.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pandr\Downloads\MPF1291" TargetMode="External"/><Relationship Id="rId17" Type="http://schemas.openxmlformats.org/officeDocument/2006/relationships/hyperlink" Target="https://about.unimelb.edu.au/__data/assets/pdf_file/0024/374640/Vice-Chancellor-Regulation-v7.pdf" TargetMode="External"/><Relationship Id="rId25" Type="http://schemas.openxmlformats.org/officeDocument/2006/relationships/hyperlink" Target="https://about.unimelb.edu.au/__data/assets/pdf_file/0024/374640/Vice-Chancellor-Regulation-v7.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nimelb.edu.au/governance/regulatory-framework" TargetMode="External"/><Relationship Id="rId20" Type="http://schemas.openxmlformats.org/officeDocument/2006/relationships/hyperlink" Target="https://about.unimelb.edu.au/__data/assets/pdf_file/0024/374640/Vice-Chancellor-Regulation-v7.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out.unimelb.edu.au/__data/assets/pdf_file/0024/374640/Vice-Chancellor-Regulation-v7.pdf" TargetMode="External"/><Relationship Id="rId24" Type="http://schemas.openxmlformats.org/officeDocument/2006/relationships/hyperlink" Target="https://about.unimelb.edu.au/__data/assets/pdf_file/0024/374640/Vice-Chancellor-Regulation-v7.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bout.unimelb.edu.au/__data/assets/pdf_file/0032/374639/Academic-Board-Regulation-v11.pdf" TargetMode="External"/><Relationship Id="rId23" Type="http://schemas.openxmlformats.org/officeDocument/2006/relationships/hyperlink" Target="https://about.unimelb.edu.au/__data/assets/pdf_file/0024/374640/Vice-Chancellor-Regulation-v7.pdf"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about.unimelb.edu.au/__data/assets/pdf_file/0024/374640/Vice-Chancellor-Regulation-v7.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andr\Downloads\MPF1345" TargetMode="External"/><Relationship Id="rId22" Type="http://schemas.openxmlformats.org/officeDocument/2006/relationships/hyperlink" Target="https://about.unimelb.edu.au/__data/assets/pdf_file/0024/374640/Vice-Chancellor-Regulation-v7.pdf" TargetMode="External"/><Relationship Id="rId27" Type="http://schemas.openxmlformats.org/officeDocument/2006/relationships/hyperlink" Target="https://about.unimelb.edu.au/__data/assets/pdf_file/0024/374640/Vice-Chancellor-Regulation-v7.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 Id="rId37" Type="http://schemas.openxmlformats.org/officeDocument/2006/relationships/hyperlink" Target="https://policy.unimelb.edu.au/category/Student Management and Support/" TargetMode="External"/><Relationship Id="rId38"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830ed8-4f4c-441c-be4a-6f4722cea4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751311BACB346A468825B8EA162C6" ma:contentTypeVersion="15" ma:contentTypeDescription="Create a new document." ma:contentTypeScope="" ma:versionID="e68ddf33715d2cd88e56b907dae3d00f">
  <xsd:schema xmlns:xsd="http://www.w3.org/2001/XMLSchema" xmlns:xs="http://www.w3.org/2001/XMLSchema" xmlns:p="http://schemas.microsoft.com/office/2006/metadata/properties" xmlns:ns3="41830ed8-4f4c-441c-be4a-6f4722cea469" xmlns:ns4="0395eb0e-eff3-473a-8453-2be5ddfa44e2" targetNamespace="http://schemas.microsoft.com/office/2006/metadata/properties" ma:root="true" ma:fieldsID="8be2b758283a98c877357dddf06b0576" ns3:_="" ns4:_="">
    <xsd:import namespace="41830ed8-4f4c-441c-be4a-6f4722cea469"/>
    <xsd:import namespace="0395eb0e-eff3-473a-8453-2be5ddfa4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30ed8-4f4c-441c-be4a-6f4722cea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5eb0e-eff3-473a-8453-2be5ddfa44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0F30DDD1-CE49-4A46-AFBA-48C081CE48DB}">
  <ds:schemaRefs>
    <ds:schemaRef ds:uri="http://schemas.openxmlformats.org/package/2006/metadata/core-properties"/>
    <ds:schemaRef ds:uri="http://purl.org/dc/elements/1.1/"/>
    <ds:schemaRef ds:uri="http://purl.org/dc/terms/"/>
    <ds:schemaRef ds:uri="http://schemas.microsoft.com/office/2006/documentManagement/types"/>
    <ds:schemaRef ds:uri="41830ed8-4f4c-441c-be4a-6f4722cea469"/>
    <ds:schemaRef ds:uri="http://schemas.microsoft.com/office/2006/metadata/properties"/>
    <ds:schemaRef ds:uri="http://purl.org/dc/dcmitype/"/>
    <ds:schemaRef ds:uri="http://schemas.microsoft.com/office/infopath/2007/PartnerControls"/>
    <ds:schemaRef ds:uri="0395eb0e-eff3-473a-8453-2be5ddfa44e2"/>
    <ds:schemaRef ds:uri="http://www.w3.org/XML/1998/namespace"/>
  </ds:schemaRefs>
</ds:datastoreItem>
</file>

<file path=customXml/itemProps2.xml><?xml version="1.0" encoding="utf-8"?>
<ds:datastoreItem xmlns:ds="http://schemas.openxmlformats.org/officeDocument/2006/customXml" ds:itemID="{86B703D4-42FF-4135-93DC-5C06732E4579}">
  <ds:schemaRefs>
    <ds:schemaRef ds:uri="http://schemas.microsoft.com/sharepoint/v3/contenttype/forms"/>
  </ds:schemaRefs>
</ds:datastoreItem>
</file>

<file path=customXml/itemProps3.xml><?xml version="1.0" encoding="utf-8"?>
<ds:datastoreItem xmlns:ds="http://schemas.openxmlformats.org/officeDocument/2006/customXml" ds:itemID="{8A29414F-67D0-480C-A0F1-16B5C8A6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30ed8-4f4c-441c-be4a-6f4722cea469"/>
    <ds:schemaRef ds:uri="0395eb0e-eff3-473a-8453-2be5ddfa4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33A15-BFDD-47A5-B1F0-923A1A2E3BF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2927</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Links>
    <vt:vector size="102" baseType="variant">
      <vt:variant>
        <vt:i4>3211286</vt:i4>
      </vt:variant>
      <vt:variant>
        <vt:i4>51</vt:i4>
      </vt:variant>
      <vt:variant>
        <vt:i4>0</vt:i4>
      </vt:variant>
      <vt:variant>
        <vt:i4>5</vt:i4>
      </vt:variant>
      <vt:variant>
        <vt:lpwstr>https://about.unimelb.edu.au/__data/assets/pdf_file/0032/19778/Vice-Chancellor-Regulation.pdf</vt:lpwstr>
      </vt:variant>
      <vt:variant>
        <vt:lpwstr/>
      </vt:variant>
      <vt:variant>
        <vt:i4>3211286</vt:i4>
      </vt:variant>
      <vt:variant>
        <vt:i4>48</vt:i4>
      </vt:variant>
      <vt:variant>
        <vt:i4>0</vt:i4>
      </vt:variant>
      <vt:variant>
        <vt:i4>5</vt:i4>
      </vt:variant>
      <vt:variant>
        <vt:lpwstr>https://about.unimelb.edu.au/__data/assets/pdf_file/0032/19778/Vice-Chancellor-Regulation.pdf</vt:lpwstr>
      </vt:variant>
      <vt:variant>
        <vt:lpwstr/>
      </vt:variant>
      <vt:variant>
        <vt:i4>3211286</vt:i4>
      </vt:variant>
      <vt:variant>
        <vt:i4>45</vt:i4>
      </vt:variant>
      <vt:variant>
        <vt:i4>0</vt:i4>
      </vt:variant>
      <vt:variant>
        <vt:i4>5</vt:i4>
      </vt:variant>
      <vt:variant>
        <vt:lpwstr>https://about.unimelb.edu.au/__data/assets/pdf_file/0032/19778/Vice-Chancellor-Regulation.pdf</vt:lpwstr>
      </vt:variant>
      <vt:variant>
        <vt:lpwstr/>
      </vt:variant>
      <vt:variant>
        <vt:i4>3211286</vt:i4>
      </vt:variant>
      <vt:variant>
        <vt:i4>42</vt:i4>
      </vt:variant>
      <vt:variant>
        <vt:i4>0</vt:i4>
      </vt:variant>
      <vt:variant>
        <vt:i4>5</vt:i4>
      </vt:variant>
      <vt:variant>
        <vt:lpwstr>https://about.unimelb.edu.au/__data/assets/pdf_file/0032/19778/Vice-Chancellor-Regulation.pdf</vt:lpwstr>
      </vt:variant>
      <vt:variant>
        <vt:lpwstr/>
      </vt:variant>
      <vt:variant>
        <vt:i4>3211286</vt:i4>
      </vt:variant>
      <vt:variant>
        <vt:i4>39</vt:i4>
      </vt:variant>
      <vt:variant>
        <vt:i4>0</vt:i4>
      </vt:variant>
      <vt:variant>
        <vt:i4>5</vt:i4>
      </vt:variant>
      <vt:variant>
        <vt:lpwstr>https://about.unimelb.edu.au/__data/assets/pdf_file/0032/19778/Vice-Chancellor-Regulation.pdf</vt:lpwstr>
      </vt:variant>
      <vt:variant>
        <vt:lpwstr/>
      </vt:variant>
      <vt:variant>
        <vt:i4>3211286</vt:i4>
      </vt:variant>
      <vt:variant>
        <vt:i4>36</vt:i4>
      </vt:variant>
      <vt:variant>
        <vt:i4>0</vt:i4>
      </vt:variant>
      <vt:variant>
        <vt:i4>5</vt:i4>
      </vt:variant>
      <vt:variant>
        <vt:lpwstr>https://about.unimelb.edu.au/__data/assets/pdf_file/0032/19778/Vice-Chancellor-Regulation.pdf</vt:lpwstr>
      </vt:variant>
      <vt:variant>
        <vt:lpwstr/>
      </vt:variant>
      <vt:variant>
        <vt:i4>3670016</vt:i4>
      </vt:variant>
      <vt:variant>
        <vt:i4>33</vt:i4>
      </vt:variant>
      <vt:variant>
        <vt:i4>0</vt:i4>
      </vt:variant>
      <vt:variant>
        <vt:i4>5</vt:i4>
      </vt:variant>
      <vt:variant>
        <vt:lpwstr>https://about.unimelb.edu.au/__data/assets/pdf_file/0029/19775/Academic-Board-Regulation-v05-17-June-2020.pdf</vt:lpwstr>
      </vt:variant>
      <vt:variant>
        <vt:lpwstr/>
      </vt:variant>
      <vt:variant>
        <vt:i4>3211286</vt:i4>
      </vt:variant>
      <vt:variant>
        <vt:i4>30</vt:i4>
      </vt:variant>
      <vt:variant>
        <vt:i4>0</vt:i4>
      </vt:variant>
      <vt:variant>
        <vt:i4>5</vt:i4>
      </vt:variant>
      <vt:variant>
        <vt:lpwstr>https://about.unimelb.edu.au/__data/assets/pdf_file/0032/19778/Vice-Chancellor-Regulation.pdf</vt:lpwstr>
      </vt:variant>
      <vt:variant>
        <vt:lpwstr/>
      </vt:variant>
      <vt:variant>
        <vt:i4>3211286</vt:i4>
      </vt:variant>
      <vt:variant>
        <vt:i4>27</vt:i4>
      </vt:variant>
      <vt:variant>
        <vt:i4>0</vt:i4>
      </vt:variant>
      <vt:variant>
        <vt:i4>5</vt:i4>
      </vt:variant>
      <vt:variant>
        <vt:lpwstr>https://about.unimelb.edu.au/__data/assets/pdf_file/0032/19778/Vice-Chancellor-Regulation.pdf</vt:lpwstr>
      </vt:variant>
      <vt:variant>
        <vt:lpwstr/>
      </vt:variant>
      <vt:variant>
        <vt:i4>5898325</vt:i4>
      </vt:variant>
      <vt:variant>
        <vt:i4>24</vt:i4>
      </vt:variant>
      <vt:variant>
        <vt:i4>0</vt:i4>
      </vt:variant>
      <vt:variant>
        <vt:i4>5</vt:i4>
      </vt:variant>
      <vt:variant>
        <vt:lpwstr>https://policy.unimelb.edu.au/MPF1104</vt:lpwstr>
      </vt:variant>
      <vt:variant>
        <vt:lpwstr/>
      </vt:variant>
      <vt:variant>
        <vt:i4>3211286</vt:i4>
      </vt:variant>
      <vt:variant>
        <vt:i4>21</vt:i4>
      </vt:variant>
      <vt:variant>
        <vt:i4>0</vt:i4>
      </vt:variant>
      <vt:variant>
        <vt:i4>5</vt:i4>
      </vt:variant>
      <vt:variant>
        <vt:lpwstr>https://about.unimelb.edu.au/__data/assets/pdf_file/0032/19778/Vice-Chancellor-Regulation.pdf</vt:lpwstr>
      </vt:variant>
      <vt:variant>
        <vt:lpwstr/>
      </vt:variant>
      <vt:variant>
        <vt:i4>3276922</vt:i4>
      </vt:variant>
      <vt:variant>
        <vt:i4>18</vt:i4>
      </vt:variant>
      <vt:variant>
        <vt:i4>0</vt:i4>
      </vt:variant>
      <vt:variant>
        <vt:i4>5</vt:i4>
      </vt:variant>
      <vt:variant>
        <vt:lpwstr>http://www.unimelb.edu.au/governance/regulatory-framework</vt:lpwstr>
      </vt:variant>
      <vt:variant>
        <vt:lpwstr>legislation</vt:lpwstr>
      </vt:variant>
      <vt:variant>
        <vt:i4>3670016</vt:i4>
      </vt:variant>
      <vt:variant>
        <vt:i4>15</vt:i4>
      </vt:variant>
      <vt:variant>
        <vt:i4>0</vt:i4>
      </vt:variant>
      <vt:variant>
        <vt:i4>5</vt:i4>
      </vt:variant>
      <vt:variant>
        <vt:lpwstr>https://about.unimelb.edu.au/__data/assets/pdf_file/0029/19775/Academic-Board-Regulation-v05-17-June-2020.pdf</vt:lpwstr>
      </vt:variant>
      <vt:variant>
        <vt:lpwstr/>
      </vt:variant>
      <vt:variant>
        <vt:i4>5570584</vt:i4>
      </vt:variant>
      <vt:variant>
        <vt:i4>12</vt:i4>
      </vt:variant>
      <vt:variant>
        <vt:i4>0</vt:i4>
      </vt:variant>
      <vt:variant>
        <vt:i4>5</vt:i4>
      </vt:variant>
      <vt:variant>
        <vt:lpwstr>C:\Users\pandr\Downloads\MPF1345</vt:lpwstr>
      </vt:variant>
      <vt:variant>
        <vt:lpwstr/>
      </vt:variant>
      <vt:variant>
        <vt:i4>5308446</vt:i4>
      </vt:variant>
      <vt:variant>
        <vt:i4>9</vt:i4>
      </vt:variant>
      <vt:variant>
        <vt:i4>0</vt:i4>
      </vt:variant>
      <vt:variant>
        <vt:i4>5</vt:i4>
      </vt:variant>
      <vt:variant>
        <vt:lpwstr>C:\Users\pandr\Downloads\MPF1321</vt:lpwstr>
      </vt:variant>
      <vt:variant>
        <vt:lpwstr/>
      </vt:variant>
      <vt:variant>
        <vt:i4>5242901</vt:i4>
      </vt:variant>
      <vt:variant>
        <vt:i4>6</vt:i4>
      </vt:variant>
      <vt:variant>
        <vt:i4>0</vt:i4>
      </vt:variant>
      <vt:variant>
        <vt:i4>5</vt:i4>
      </vt:variant>
      <vt:variant>
        <vt:lpwstr>C:\Users\pandr\Downloads\MPF1291</vt:lpwstr>
      </vt:variant>
      <vt:variant>
        <vt:lpwstr/>
      </vt:variant>
      <vt:variant>
        <vt:i4>3211286</vt:i4>
      </vt:variant>
      <vt:variant>
        <vt:i4>3</vt:i4>
      </vt:variant>
      <vt:variant>
        <vt:i4>0</vt:i4>
      </vt:variant>
      <vt:variant>
        <vt:i4>5</vt:i4>
      </vt:variant>
      <vt:variant>
        <vt:lpwstr>https://about.unimelb.edu.au/__data/assets/pdf_file/0032/19778/Vice-Chancellor-Regulation.pdf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cp:lastModifiedBy>Eugene Toh</cp:lastModifiedBy>
  <cp:revision>6</cp:revision>
  <cp:lastPrinted>1900-01-01T08:00:00Z</cp:lastPrinted>
  <dcterms:created xsi:type="dcterms:W3CDTF">2023-01-08T23:03:00Z</dcterms:created>
  <dcterms:modified xsi:type="dcterms:W3CDTF">2023-01-08T23:17:00Z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0x0101008F5751311BACB346A468825B8EA162C6</vt:lpwstr>
  </property>
</Properties>
</file>