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Leave Policy (MPF1343)</w:t>
      </w:r>
    </w:p>
    <w:p>
      <w:r/>
    </w:p>
    <w:p>
      <w:r>
        <w:rPr>
          <w:rFonts w:ascii="Source Sans Pro" w:hAnsi="Source Sans Pro"/>
          <w:b/>
          <w:sz w:val="20"/>
        </w:rPr>
        <w:t xml:space="preserve">Category: </w:t>
      </w:r>
      <w:r/>
      <w:hyperlink r:id="rId19">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22 August,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02 September, 2024</w:t>
        <w:br/>
      </w:r>
      <w:r>
        <w:rPr>
          <w:rFonts w:ascii="Source Sans Pro" w:hAnsi="Source Sans Pro"/>
          <w:b/>
          <w:sz w:val="20"/>
        </w:rPr>
        <w:t xml:space="preserve">Review due by: </w:t>
      </w:r>
      <w:r>
        <w:rPr>
          <w:rFonts w:ascii="Source Sans Pro" w:hAnsi="Source Sans Pro"/>
          <w:sz w:val="20"/>
        </w:rPr>
        <w:t>02 September,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r>
        <w:rPr>
          <w:rFonts w:ascii="Source Sans Pro" w:hAnsi="Source Sans Pro"/>
          <w:b/>
          <w:sz w:val="20"/>
        </w:rPr>
        <w:t xml:space="preserve">Supporting Process: </w:t>
      </w:r>
      <w:r/>
      <w:r>
        <w:br/>
      </w:r>
      <w:hyperlink r:id="rId20">
        <w:r>
          <w:rPr>
            <w:color w:val="0000FF"/>
            <w:u w:val="single"/>
          </w:rPr>
          <w:t>Employment Processes</w:t>
        </w:r>
      </w:hyperlink>
      <w:r/>
      <w:r>
        <w:br/>
      </w:r>
    </w:p>
    <w:p w14:paraId="78F6DAD4" w14:textId="77777777" w:rsidR="00BD547D" w:rsidRDefault="00BD547D" w:rsidP="00BD547D">
      <w:pPr>
        <w:pStyle w:val="MPLNoNumberingHeadings"/>
      </w:pPr>
      <w:r>
        <w:t xml:space="preserve">1. Objectives </w:t>
      </w:r>
    </w:p>
    <w:p w14:paraId="3135E550" w14:textId="77777777" w:rsidR="00BD547D" w:rsidRDefault="00BD547D" w:rsidP="00BD547D">
      <w:pPr>
        <w:pStyle w:val="MPLParapgrah"/>
      </w:pPr>
      <w:r>
        <w:t xml:space="preserve">The objective of this policy is to clearly state the University’s commitment to providing all employees with leave of various types, as required by law, the University of Melbourne Enterprise Agreement 2024 (‘the Agreement’) and their particular terms and conditions of employment, as applicable. </w:t>
      </w:r>
    </w:p>
    <w:p w14:paraId="7BAAEFEC" w14:textId="77777777" w:rsidR="00BD547D" w:rsidRDefault="00BD547D" w:rsidP="00BD547D">
      <w:pPr>
        <w:pStyle w:val="MPLNoNumberingHeadings"/>
      </w:pPr>
      <w:r>
        <w:t xml:space="preserve">2. Scope </w:t>
      </w:r>
    </w:p>
    <w:p w14:paraId="67C323F9" w14:textId="77777777" w:rsidR="00BD547D" w:rsidRDefault="00BD547D" w:rsidP="00BD547D">
      <w:pPr>
        <w:pStyle w:val="MPLParagraphlevel1xx"/>
        <w:spacing w:after="120"/>
      </w:pPr>
      <w:r>
        <w:t xml:space="preserve">This policy applies to all employees of the University, unless otherwise stated. </w:t>
      </w:r>
    </w:p>
    <w:p w14:paraId="046213C3" w14:textId="77777777" w:rsidR="00CB4208" w:rsidRDefault="00BD547D" w:rsidP="00CB4208">
      <w:pPr>
        <w:pStyle w:val="MPLParagraphlevel1xx"/>
        <w:spacing w:after="120"/>
      </w:pPr>
      <w:r>
        <w:t xml:space="preserve">This policy sets out the University’s general employee leave benefits and conditions, including reference to those explicitly provided: </w:t>
      </w:r>
    </w:p>
    <w:p w14:paraId="3C9B9657" w14:textId="77777777" w:rsidR="00CB4208" w:rsidRDefault="00BD547D" w:rsidP="00BD547D">
      <w:pPr>
        <w:pStyle w:val="MPLParagraphlevel1xx"/>
        <w:numPr>
          <w:ilvl w:val="1"/>
          <w:numId w:val="6"/>
        </w:numPr>
        <w:spacing w:after="120"/>
      </w:pPr>
      <w:r>
        <w:t>under legislation; and</w:t>
      </w:r>
    </w:p>
    <w:p w14:paraId="130350FE" w14:textId="64196098" w:rsidR="00BD547D" w:rsidRDefault="00BD547D" w:rsidP="00BD547D">
      <w:pPr>
        <w:pStyle w:val="MPLParagraphlevel1xx"/>
        <w:numPr>
          <w:ilvl w:val="1"/>
          <w:numId w:val="6"/>
        </w:numPr>
        <w:spacing w:after="120"/>
      </w:pPr>
      <w:r>
        <w:t xml:space="preserve">within the employee’s particular terms and conditions of employment (which may be the Agreement or an individual employment contract). </w:t>
      </w:r>
    </w:p>
    <w:p w14:paraId="0146E835" w14:textId="08A99849" w:rsidR="00BD547D" w:rsidRDefault="00BD547D" w:rsidP="00BD547D">
      <w:pPr>
        <w:pStyle w:val="MPLParagraphlevel1xx"/>
        <w:spacing w:after="120"/>
      </w:pPr>
      <w:r>
        <w:t xml:space="preserve">Sabbaticals (Special Studies Program) are not leave for the purposes of this policy. They are covered under </w:t>
      </w:r>
      <w:r w:rsidRPr="00F7560A">
        <w:t xml:space="preserve">the </w:t>
      </w:r>
      <w:r w:rsidR="00F7560A" w:rsidRPr="00866DBB">
        <w:t>Academic Appointment, Performance and Promotion Policy (</w:t>
      </w:r>
      <w:hyperlink r:id="rId9" w:history="1">
        <w:r w:rsidR="00F7560A" w:rsidRPr="00866DBB">
          <w:rPr>
            <w:rStyle w:val="Hyperlink"/>
          </w:rPr>
          <w:t>MPF1299</w:t>
        </w:r>
      </w:hyperlink>
      <w:r w:rsidR="00F7560A" w:rsidRPr="00866DBB">
        <w:t>)</w:t>
      </w:r>
      <w:r w:rsidRPr="00F7560A">
        <w:t>.</w:t>
      </w:r>
      <w:r>
        <w:t xml:space="preserve"> </w:t>
      </w:r>
    </w:p>
    <w:p w14:paraId="1846FB1E" w14:textId="77777777" w:rsidR="00BD547D" w:rsidRDefault="00BD547D" w:rsidP="00BD547D">
      <w:pPr>
        <w:pStyle w:val="MPLParagraphlevel1xx"/>
        <w:spacing w:after="120"/>
      </w:pPr>
      <w:r>
        <w:t>Where there is inconsistency between this policy and either relevant legislation or the Agreement, the applicable legislation or Agreement will prevail.</w:t>
      </w:r>
      <w:r>
        <w:br/>
      </w:r>
    </w:p>
    <w:p w14:paraId="761C7AC6" w14:textId="77777777" w:rsidR="00BD547D" w:rsidRDefault="00BD547D" w:rsidP="00BD547D">
      <w:pPr>
        <w:pStyle w:val="MPLNoNumberingHeadings"/>
      </w:pPr>
      <w:r>
        <w:t xml:space="preserve">3. Authority </w:t>
      </w:r>
    </w:p>
    <w:p w14:paraId="3D9EF135" w14:textId="6D43E18A" w:rsidR="00BD547D" w:rsidRDefault="00BD547D" w:rsidP="00BD547D">
      <w:pPr>
        <w:pStyle w:val="MPLParagraphlevel13x"/>
        <w:spacing w:after="120"/>
      </w:pPr>
      <w:r>
        <w:t xml:space="preserve">This policy is made under the </w:t>
      </w:r>
      <w:hyperlink r:id="rId10">
        <w:r w:rsidRPr="114FA5E6">
          <w:rPr>
            <w:color w:val="0000EE"/>
            <w:u w:val="single"/>
          </w:rPr>
          <w:t xml:space="preserve">University of Melbourne Act 2009 </w:t>
        </w:r>
      </w:hyperlink>
      <w:hyperlink r:id="rId11">
        <w:r w:rsidRPr="114FA5E6">
          <w:rPr>
            <w:color w:val="0000EE"/>
            <w:u w:val="single"/>
          </w:rPr>
          <w:t xml:space="preserve">(Vic) </w:t>
        </w:r>
      </w:hyperlink>
      <w:r>
        <w:t xml:space="preserve">and the </w:t>
      </w:r>
      <w:hyperlink r:id="rId12">
        <w:r w:rsidRPr="114FA5E6">
          <w:rPr>
            <w:color w:val="0000EE"/>
            <w:u w:val="single"/>
          </w:rPr>
          <w:t xml:space="preserve">Vice-Chancellor Regulation </w:t>
        </w:r>
      </w:hyperlink>
      <w:r>
        <w:t xml:space="preserve">and supports compliance with the: </w:t>
      </w:r>
    </w:p>
    <w:p w14:paraId="15985673" w14:textId="77777777" w:rsidR="00BD547D" w:rsidRDefault="00BD547D" w:rsidP="00BD547D">
      <w:pPr>
        <w:pStyle w:val="MPLParagraphlevel2"/>
        <w:numPr>
          <w:ilvl w:val="3"/>
          <w:numId w:val="4"/>
        </w:numPr>
      </w:pPr>
      <w:r>
        <w:t>Carer Recognition Act 2010 (</w:t>
      </w:r>
      <w:proofErr w:type="spellStart"/>
      <w:r>
        <w:t>Cth</w:t>
      </w:r>
      <w:proofErr w:type="spellEnd"/>
      <w:r>
        <w:t xml:space="preserve">); </w:t>
      </w:r>
    </w:p>
    <w:p w14:paraId="1039253D" w14:textId="77777777" w:rsidR="00BD547D" w:rsidRDefault="00BD547D" w:rsidP="00CB4208">
      <w:pPr>
        <w:pStyle w:val="MPLParagraphlevel1"/>
        <w:numPr>
          <w:ilvl w:val="3"/>
          <w:numId w:val="4"/>
        </w:numPr>
        <w:spacing w:after="120"/>
      </w:pPr>
      <w:r>
        <w:t xml:space="preserve">Equal Opportunity Act 2010 (Vic); </w:t>
      </w:r>
    </w:p>
    <w:p w14:paraId="7B56561F" w14:textId="77777777" w:rsidR="00BD547D" w:rsidRDefault="00BD547D" w:rsidP="00CB4208">
      <w:pPr>
        <w:pStyle w:val="MPLParagraphlevel1"/>
        <w:numPr>
          <w:ilvl w:val="3"/>
          <w:numId w:val="4"/>
        </w:numPr>
        <w:spacing w:after="120"/>
      </w:pPr>
      <w:r>
        <w:t>Fair Work Act 2009 (</w:t>
      </w:r>
      <w:proofErr w:type="spellStart"/>
      <w:r>
        <w:t>Cth</w:t>
      </w:r>
      <w:proofErr w:type="spellEnd"/>
      <w:r>
        <w:t xml:space="preserve">); </w:t>
      </w:r>
    </w:p>
    <w:p w14:paraId="3A32CF9C" w14:textId="77777777" w:rsidR="00BD547D" w:rsidRDefault="00BD547D" w:rsidP="00CB4208">
      <w:pPr>
        <w:pStyle w:val="MPLParagraphlevel1"/>
        <w:numPr>
          <w:ilvl w:val="3"/>
          <w:numId w:val="4"/>
        </w:numPr>
        <w:spacing w:after="120"/>
      </w:pPr>
      <w:r>
        <w:t xml:space="preserve">Juries Act 2000 (Vic); </w:t>
      </w:r>
    </w:p>
    <w:p w14:paraId="4A536053" w14:textId="77777777" w:rsidR="00BD547D" w:rsidRDefault="00BD547D" w:rsidP="00CB4208">
      <w:pPr>
        <w:pStyle w:val="MPLParagraphlevel1"/>
        <w:numPr>
          <w:ilvl w:val="3"/>
          <w:numId w:val="4"/>
        </w:numPr>
        <w:spacing w:after="120"/>
      </w:pPr>
      <w:r>
        <w:t xml:space="preserve">Long Service Leave Act 2018 (Vic); </w:t>
      </w:r>
    </w:p>
    <w:p w14:paraId="7BA32305" w14:textId="77777777" w:rsidR="00BD547D" w:rsidRDefault="00BD547D" w:rsidP="00CB4208">
      <w:pPr>
        <w:pStyle w:val="MPLParagraphlevel1"/>
        <w:numPr>
          <w:ilvl w:val="3"/>
          <w:numId w:val="4"/>
        </w:numPr>
        <w:spacing w:after="120"/>
      </w:pPr>
      <w:r>
        <w:t xml:space="preserve">Occupational Health and Safety Act 2004 (Vic); </w:t>
      </w:r>
    </w:p>
    <w:p w14:paraId="3C8372F9" w14:textId="77777777" w:rsidR="00BD547D" w:rsidRDefault="00BD547D" w:rsidP="00CB4208">
      <w:pPr>
        <w:pStyle w:val="MPLParagraphlevel1"/>
        <w:numPr>
          <w:ilvl w:val="3"/>
          <w:numId w:val="4"/>
        </w:numPr>
        <w:spacing w:after="120"/>
      </w:pPr>
      <w:r>
        <w:t xml:space="preserve">Public Health and Wellbeing Regulations 2019 (Vic); </w:t>
      </w:r>
    </w:p>
    <w:p w14:paraId="19DE938D" w14:textId="77777777" w:rsidR="00BD547D" w:rsidRDefault="00BD547D" w:rsidP="00CB4208">
      <w:pPr>
        <w:pStyle w:val="MPLParagraphlevel1"/>
        <w:numPr>
          <w:ilvl w:val="3"/>
          <w:numId w:val="4"/>
        </w:numPr>
        <w:spacing w:after="120"/>
      </w:pPr>
      <w:r>
        <w:t xml:space="preserve">Workplace Injury Rehabilitation and Compensation Act 2013 (Vic). </w:t>
      </w:r>
    </w:p>
    <w:p w14:paraId="0ACF3A94" w14:textId="77777777" w:rsidR="00BD547D" w:rsidRDefault="00BD547D" w:rsidP="00BD547D">
      <w:pPr>
        <w:pStyle w:val="MPLNoNumberingHeadings"/>
      </w:pPr>
      <w:r>
        <w:t xml:space="preserve">4. Policy </w:t>
      </w:r>
    </w:p>
    <w:p w14:paraId="4B06F5A4" w14:textId="77777777" w:rsidR="00BD547D" w:rsidRDefault="00BD547D" w:rsidP="00BD547D">
      <w:pPr>
        <w:pStyle w:val="MPLParagraphlevel14x"/>
        <w:spacing w:after="120"/>
      </w:pPr>
      <w:r w:rsidDel="33371778">
        <w:t xml:space="preserve">The University </w:t>
      </w:r>
      <w:r>
        <w:t xml:space="preserve">provides for its employees to access their entitlements to paid, and in some instances unpaid, leave as specified under the National Employment Standards (NES), relevant employment legislation (including the </w:t>
      </w:r>
      <w:r w:rsidRPr="00E81940">
        <w:rPr>
          <w:i/>
          <w:iCs/>
        </w:rPr>
        <w:t>Fair Work Act 2009</w:t>
      </w:r>
      <w:r>
        <w:t xml:space="preserve"> (</w:t>
      </w:r>
      <w:proofErr w:type="spellStart"/>
      <w:r>
        <w:t>Cth</w:t>
      </w:r>
      <w:proofErr w:type="spellEnd"/>
      <w:r>
        <w:t xml:space="preserve">) and the </w:t>
      </w:r>
      <w:r>
        <w:rPr>
          <w:i/>
        </w:rPr>
        <w:t xml:space="preserve">Long Service Leave Act 2018 </w:t>
      </w:r>
      <w:r>
        <w:t>(Vic)), the Agreement and individual employment contracts.</w:t>
      </w:r>
    </w:p>
    <w:p w14:paraId="650A5F0E" w14:textId="77777777" w:rsidR="00BD547D" w:rsidRDefault="00BD547D" w:rsidP="00BD547D">
      <w:pPr>
        <w:pStyle w:val="MPLParagraphlevel14x"/>
        <w:spacing w:after="120"/>
      </w:pPr>
      <w:r>
        <w:t>At its discretion, the University:</w:t>
      </w:r>
    </w:p>
    <w:p w14:paraId="59ED8B0E" w14:textId="77777777" w:rsidR="00BD547D" w:rsidRPr="0052471C" w:rsidRDefault="00BD547D" w:rsidP="00BD547D">
      <w:pPr>
        <w:pStyle w:val="MPLParagraphlevel2"/>
        <w:numPr>
          <w:ilvl w:val="3"/>
          <w:numId w:val="18"/>
        </w:numPr>
      </w:pPr>
      <w:r w:rsidRPr="0052471C">
        <w:t xml:space="preserve">elects to provide the leave benefits set out in the Agreement to all employees; </w:t>
      </w:r>
    </w:p>
    <w:p w14:paraId="08FC724E" w14:textId="77777777" w:rsidR="00BD547D" w:rsidRPr="00602041" w:rsidRDefault="00BD547D" w:rsidP="00BD547D">
      <w:pPr>
        <w:pStyle w:val="MPLParagraphlevel2"/>
        <w:numPr>
          <w:ilvl w:val="3"/>
          <w:numId w:val="18"/>
        </w:numPr>
      </w:pPr>
      <w:r w:rsidRPr="0052471C">
        <w:t xml:space="preserve">may provide employees access to unpaid leave (in addition to any entitlements under </w:t>
      </w:r>
      <w:r w:rsidRPr="00602041">
        <w:t xml:space="preserve">legislation) where paid leave entitlements are exhausted or unavailable; and </w:t>
      </w:r>
    </w:p>
    <w:p w14:paraId="57B9C21F" w14:textId="60304DBD" w:rsidR="00BD547D" w:rsidRPr="00602041" w:rsidRDefault="00BD547D" w:rsidP="00BD547D">
      <w:pPr>
        <w:pStyle w:val="MPLParagraphlevel2"/>
        <w:numPr>
          <w:ilvl w:val="3"/>
          <w:numId w:val="18"/>
        </w:numPr>
      </w:pPr>
      <w:r w:rsidRPr="00602041">
        <w:lastRenderedPageBreak/>
        <w:t xml:space="preserve">may provide the following additional types of leave to employees (in accordance with section </w:t>
      </w:r>
      <w:r w:rsidR="003A48BD" w:rsidRPr="00602041">
        <w:t>5.7</w:t>
      </w:r>
      <w:r w:rsidRPr="00602041">
        <w:t xml:space="preserve"> below):</w:t>
      </w:r>
    </w:p>
    <w:p w14:paraId="0C590A6A" w14:textId="77777777" w:rsidR="00BD547D" w:rsidRPr="0052471C" w:rsidRDefault="00BD547D" w:rsidP="00BD547D">
      <w:pPr>
        <w:pStyle w:val="MPLParagraphlevel3"/>
      </w:pPr>
      <w:r w:rsidRPr="0052471C">
        <w:t xml:space="preserve">Australian </w:t>
      </w:r>
      <w:proofErr w:type="spellStart"/>
      <w:r w:rsidRPr="0052471C">
        <w:t>Defence</w:t>
      </w:r>
      <w:proofErr w:type="spellEnd"/>
      <w:r w:rsidRPr="0052471C">
        <w:t xml:space="preserve"> Force Reserves leave; </w:t>
      </w:r>
    </w:p>
    <w:p w14:paraId="4EF12E3E" w14:textId="77777777" w:rsidR="00BD547D" w:rsidRPr="0052471C" w:rsidRDefault="00BD547D" w:rsidP="00BD547D">
      <w:pPr>
        <w:pStyle w:val="MPLParagraphlevel3"/>
      </w:pPr>
      <w:r w:rsidRPr="0052471C">
        <w:t>Study leave;</w:t>
      </w:r>
    </w:p>
    <w:p w14:paraId="1587E109" w14:textId="77777777" w:rsidR="00BD547D" w:rsidRPr="0052471C" w:rsidRDefault="00BD547D" w:rsidP="00BD547D">
      <w:pPr>
        <w:pStyle w:val="MPLParagraphlevel3"/>
      </w:pPr>
      <w:r w:rsidRPr="0052471C">
        <w:t xml:space="preserve">Volunteering leave; and </w:t>
      </w:r>
    </w:p>
    <w:p w14:paraId="18D0C7F3" w14:textId="77777777" w:rsidR="00BD547D" w:rsidRPr="0052471C" w:rsidRDefault="00BD547D" w:rsidP="00BD547D">
      <w:pPr>
        <w:pStyle w:val="MPLParagraphlevel3"/>
      </w:pPr>
      <w:r w:rsidRPr="0052471C">
        <w:t>Quarantine leave.</w:t>
      </w:r>
    </w:p>
    <w:p w14:paraId="1C93792A" w14:textId="77777777" w:rsidR="00BD547D" w:rsidRDefault="00BD547D" w:rsidP="00BD547D">
      <w:pPr>
        <w:pStyle w:val="MPLNoNumberingHeadings"/>
      </w:pPr>
      <w:r>
        <w:t xml:space="preserve">5. Procedural Principles </w:t>
      </w:r>
    </w:p>
    <w:p w14:paraId="04EA4BF2" w14:textId="77777777" w:rsidR="00495B68" w:rsidRPr="00495B68" w:rsidRDefault="00495B68" w:rsidP="00495B68">
      <w:pPr>
        <w:pStyle w:val="ListParagraph"/>
        <w:keepNext/>
        <w:keepLines/>
        <w:numPr>
          <w:ilvl w:val="0"/>
          <w:numId w:val="5"/>
        </w:numPr>
        <w:spacing w:before="200" w:after="0" w:line="276" w:lineRule="auto"/>
        <w:contextualSpacing w:val="0"/>
        <w:outlineLvl w:val="1"/>
        <w:rPr>
          <w:rFonts w:eastAsia="Times New Roman" w:cs="Arial"/>
          <w:b/>
          <w:bCs/>
          <w:vanish/>
          <w:color w:val="000F46"/>
          <w:kern w:val="0"/>
          <w:sz w:val="32"/>
          <w:szCs w:val="26"/>
          <w:lang w:val="en-US" w:eastAsia="en-AU"/>
          <w14:ligatures w14:val="none"/>
        </w:rPr>
      </w:pPr>
    </w:p>
    <w:p w14:paraId="0A2B7448" w14:textId="77777777" w:rsidR="00495B68" w:rsidRPr="00495B68" w:rsidRDefault="00495B68" w:rsidP="00495B68">
      <w:pPr>
        <w:pStyle w:val="ListParagraph"/>
        <w:keepNext/>
        <w:keepLines/>
        <w:numPr>
          <w:ilvl w:val="0"/>
          <w:numId w:val="5"/>
        </w:numPr>
        <w:spacing w:before="200" w:after="0" w:line="276" w:lineRule="auto"/>
        <w:contextualSpacing w:val="0"/>
        <w:outlineLvl w:val="1"/>
        <w:rPr>
          <w:rFonts w:eastAsia="Times New Roman" w:cs="Arial"/>
          <w:b/>
          <w:bCs/>
          <w:vanish/>
          <w:color w:val="000F46"/>
          <w:kern w:val="0"/>
          <w:sz w:val="32"/>
          <w:szCs w:val="26"/>
          <w:lang w:val="en-US" w:eastAsia="en-AU"/>
          <w14:ligatures w14:val="none"/>
        </w:rPr>
      </w:pPr>
    </w:p>
    <w:p w14:paraId="0B345E94" w14:textId="77777777" w:rsidR="00495B68" w:rsidRPr="00495B68" w:rsidRDefault="00495B68" w:rsidP="00495B68">
      <w:pPr>
        <w:pStyle w:val="ListParagraph"/>
        <w:keepNext/>
        <w:keepLines/>
        <w:numPr>
          <w:ilvl w:val="0"/>
          <w:numId w:val="5"/>
        </w:numPr>
        <w:spacing w:before="200" w:after="0" w:line="276" w:lineRule="auto"/>
        <w:contextualSpacing w:val="0"/>
        <w:outlineLvl w:val="1"/>
        <w:rPr>
          <w:rFonts w:eastAsia="Times New Roman" w:cs="Arial"/>
          <w:b/>
          <w:bCs/>
          <w:vanish/>
          <w:color w:val="000F46"/>
          <w:kern w:val="0"/>
          <w:sz w:val="32"/>
          <w:szCs w:val="26"/>
          <w:lang w:val="en-US" w:eastAsia="en-AU"/>
          <w14:ligatures w14:val="none"/>
        </w:rPr>
      </w:pPr>
    </w:p>
    <w:p w14:paraId="3E970592" w14:textId="77777777" w:rsidR="00495B68" w:rsidRPr="00495B68" w:rsidRDefault="00495B68" w:rsidP="00495B68">
      <w:pPr>
        <w:pStyle w:val="ListParagraph"/>
        <w:keepNext/>
        <w:keepLines/>
        <w:numPr>
          <w:ilvl w:val="0"/>
          <w:numId w:val="5"/>
        </w:numPr>
        <w:spacing w:before="200" w:after="0" w:line="276" w:lineRule="auto"/>
        <w:contextualSpacing w:val="0"/>
        <w:outlineLvl w:val="1"/>
        <w:rPr>
          <w:rFonts w:eastAsia="Times New Roman" w:cs="Arial"/>
          <w:b/>
          <w:bCs/>
          <w:vanish/>
          <w:color w:val="000F46"/>
          <w:kern w:val="0"/>
          <w:sz w:val="32"/>
          <w:szCs w:val="26"/>
          <w:lang w:val="en-US" w:eastAsia="en-AU"/>
          <w14:ligatures w14:val="none"/>
        </w:rPr>
      </w:pPr>
    </w:p>
    <w:p w14:paraId="3E5A74EC" w14:textId="731D1AB8" w:rsidR="00BD547D" w:rsidRPr="00FD1F43" w:rsidRDefault="00BD547D" w:rsidP="00913C55">
      <w:pPr>
        <w:pStyle w:val="MPLHeading1"/>
      </w:pPr>
      <w:r w:rsidRPr="00E81940">
        <w:t>General principles</w:t>
      </w:r>
    </w:p>
    <w:p w14:paraId="2F445009" w14:textId="77777777" w:rsidR="00BD547D" w:rsidRDefault="00BD547D" w:rsidP="00BD547D">
      <w:pPr>
        <w:pStyle w:val="MPLParagraphlevel1"/>
        <w:spacing w:after="120"/>
      </w:pPr>
      <w:r w:rsidDel="00A44060">
        <w:t xml:space="preserve">It is a condition of employment that all absences are </w:t>
      </w:r>
      <w:proofErr w:type="spellStart"/>
      <w:r w:rsidDel="00A44060">
        <w:t>authorised</w:t>
      </w:r>
      <w:proofErr w:type="spellEnd"/>
      <w:r>
        <w:t xml:space="preserve"> by the University.</w:t>
      </w:r>
    </w:p>
    <w:p w14:paraId="6ABF3BFD" w14:textId="77777777" w:rsidR="00BD547D" w:rsidDel="00A44060" w:rsidRDefault="00BD547D" w:rsidP="00BD547D">
      <w:pPr>
        <w:pStyle w:val="MPLParagraphlevel1"/>
        <w:spacing w:after="120"/>
      </w:pPr>
      <w:r w:rsidDel="00A44060">
        <w:t xml:space="preserve">For the purposes of this policy and unless otherwise stated, leave accrues for and will be taken by employees in part-time employment on a pro rata basis. </w:t>
      </w:r>
    </w:p>
    <w:p w14:paraId="456D4721" w14:textId="77777777" w:rsidR="00BD547D" w:rsidDel="00A44060" w:rsidRDefault="00BD547D" w:rsidP="00BD547D">
      <w:pPr>
        <w:pStyle w:val="MPLParagraphlevel1"/>
        <w:spacing w:after="120"/>
      </w:pPr>
      <w:r w:rsidDel="00A44060">
        <w:t xml:space="preserve">An employee on leave (including unpaid leave) remains employed by the University. </w:t>
      </w:r>
    </w:p>
    <w:p w14:paraId="0C4E9E40" w14:textId="77777777" w:rsidR="00BD547D" w:rsidRDefault="00BD547D" w:rsidP="00BD547D">
      <w:pPr>
        <w:pStyle w:val="MPLParagraphlevel1"/>
        <w:spacing w:after="120"/>
      </w:pPr>
      <w:r w:rsidDel="00A44060">
        <w:t xml:space="preserve">The University </w:t>
      </w:r>
      <w:r>
        <w:t xml:space="preserve">will </w:t>
      </w:r>
      <w:r w:rsidDel="00A44060">
        <w:t xml:space="preserve">maintain records of all leave taken by employees, in accordance with the law. </w:t>
      </w:r>
    </w:p>
    <w:p w14:paraId="3F19A7E2" w14:textId="77777777" w:rsidR="00BD547D" w:rsidRDefault="00BD547D" w:rsidP="00BD547D">
      <w:pPr>
        <w:pStyle w:val="MPLParagraphlevel1"/>
        <w:spacing w:after="120"/>
      </w:pPr>
      <w:r>
        <w:t xml:space="preserve">University employees are entitled to the types of paid leave listed in the </w:t>
      </w:r>
      <w:r w:rsidRPr="009A3BC2">
        <w:t>Table below,</w:t>
      </w:r>
      <w:r w:rsidRPr="00E81940">
        <w:t xml:space="preserve"> regardless of whether their employment is covered under the Agreement or under individual employment contracts</w:t>
      </w:r>
      <w:r w:rsidRPr="009A3BC2">
        <w:t xml:space="preserve">, </w:t>
      </w:r>
      <w:r>
        <w:t>while noting that:</w:t>
      </w:r>
    </w:p>
    <w:p w14:paraId="564A7080" w14:textId="77777777" w:rsidR="00BD547D" w:rsidRPr="00C8134B" w:rsidRDefault="00BD547D" w:rsidP="007C084D">
      <w:pPr>
        <w:pStyle w:val="MPLParagraphlevel2"/>
        <w:numPr>
          <w:ilvl w:val="0"/>
          <w:numId w:val="43"/>
        </w:numPr>
      </w:pPr>
      <w:r w:rsidRPr="00C8134B">
        <w:t>some types of paid leave are available to all employees while others are only available for continuing and fixed term employees (in which case casual employees may be able to take such leave without pay, depending on the type of leave); and</w:t>
      </w:r>
    </w:p>
    <w:p w14:paraId="00CAD1D2" w14:textId="77777777" w:rsidR="00BD547D" w:rsidRPr="00C8134B" w:rsidRDefault="00BD547D" w:rsidP="007C084D">
      <w:pPr>
        <w:pStyle w:val="MPLParagraphlevel2"/>
        <w:numPr>
          <w:ilvl w:val="0"/>
          <w:numId w:val="43"/>
        </w:numPr>
      </w:pPr>
      <w:r w:rsidRPr="00C8134B">
        <w:t>if a leave type is available to an employee, it is provided according to the terms and conditions of the Agreement, the NES and any/or relevant legislation that applies in each case.</w:t>
      </w:r>
    </w:p>
    <w:tbl>
      <w:tblPr>
        <w:tblStyle w:val="TableGrid"/>
        <w:tblW w:w="10075" w:type="dxa"/>
        <w:tblInd w:w="-113" w:type="dxa"/>
        <w:tblLayout w:type="fixed"/>
        <w:tblLook w:val="04A0" w:firstRow="1" w:lastRow="0" w:firstColumn="1" w:lastColumn="0" w:noHBand="0" w:noVBand="1"/>
      </w:tblPr>
      <w:tblGrid>
        <w:gridCol w:w="1809"/>
        <w:gridCol w:w="1276"/>
        <w:gridCol w:w="1134"/>
        <w:gridCol w:w="1134"/>
        <w:gridCol w:w="3402"/>
        <w:gridCol w:w="1320"/>
      </w:tblGrid>
      <w:tr w:rsidR="00BD547D" w:rsidRPr="00F32BE3" w14:paraId="2006E8BD" w14:textId="77777777" w:rsidTr="002C5AFE">
        <w:trPr>
          <w:tblHeader/>
        </w:trPr>
        <w:tc>
          <w:tcPr>
            <w:tcW w:w="1809" w:type="dxa"/>
            <w:shd w:val="clear" w:color="auto" w:fill="auto"/>
          </w:tcPr>
          <w:p w14:paraId="7FE0074E" w14:textId="77777777" w:rsidR="00BD547D" w:rsidRPr="006A7D8E" w:rsidRDefault="00BD547D" w:rsidP="00E33150">
            <w:pPr>
              <w:pStyle w:val="MPLParapgrah"/>
              <w:spacing w:after="120"/>
              <w:rPr>
                <w:b/>
                <w:bCs/>
                <w:szCs w:val="20"/>
              </w:rPr>
            </w:pPr>
            <w:r w:rsidRPr="006A7D8E">
              <w:rPr>
                <w:b/>
                <w:bCs/>
                <w:szCs w:val="20"/>
              </w:rPr>
              <w:t xml:space="preserve">Type of paid leave </w:t>
            </w:r>
            <w:r w:rsidRPr="006A7D8E">
              <w:rPr>
                <w:b/>
                <w:bCs/>
              </w:rPr>
              <w:t>(also available to</w:t>
            </w:r>
            <w:r w:rsidRPr="006A7D8E">
              <w:rPr>
                <w:b/>
                <w:bCs/>
              </w:rPr>
              <w:br/>
              <w:t xml:space="preserve"> non EA employees)</w:t>
            </w:r>
          </w:p>
        </w:tc>
        <w:tc>
          <w:tcPr>
            <w:tcW w:w="1276" w:type="dxa"/>
            <w:shd w:val="clear" w:color="auto" w:fill="auto"/>
          </w:tcPr>
          <w:p w14:paraId="50852702" w14:textId="77777777" w:rsidR="00BD547D" w:rsidRPr="006A7D8E" w:rsidRDefault="00BD547D" w:rsidP="00E33150">
            <w:pPr>
              <w:pStyle w:val="MPLParapgrah"/>
              <w:spacing w:after="120"/>
              <w:rPr>
                <w:b/>
                <w:bCs/>
                <w:szCs w:val="20"/>
              </w:rPr>
            </w:pPr>
            <w:r w:rsidRPr="006A7D8E">
              <w:rPr>
                <w:b/>
                <w:bCs/>
                <w:szCs w:val="20"/>
              </w:rPr>
              <w:t>Continuing employee</w:t>
            </w:r>
          </w:p>
        </w:tc>
        <w:tc>
          <w:tcPr>
            <w:tcW w:w="1134" w:type="dxa"/>
            <w:shd w:val="clear" w:color="auto" w:fill="auto"/>
          </w:tcPr>
          <w:p w14:paraId="1F365DDB" w14:textId="77777777" w:rsidR="00BD547D" w:rsidRPr="006A7D8E" w:rsidRDefault="00BD547D" w:rsidP="00E33150">
            <w:pPr>
              <w:pStyle w:val="MPLParapgrah"/>
              <w:spacing w:after="120"/>
              <w:rPr>
                <w:b/>
                <w:bCs/>
                <w:szCs w:val="20"/>
              </w:rPr>
            </w:pPr>
            <w:r w:rsidRPr="006A7D8E">
              <w:rPr>
                <w:b/>
                <w:bCs/>
                <w:szCs w:val="20"/>
              </w:rPr>
              <w:t>Fixed-term</w:t>
            </w:r>
          </w:p>
          <w:p w14:paraId="03BB6424" w14:textId="77777777" w:rsidR="00BD547D" w:rsidRPr="006A7D8E" w:rsidRDefault="00BD547D" w:rsidP="00E33150">
            <w:pPr>
              <w:pStyle w:val="MPLParapgrah"/>
              <w:spacing w:after="120"/>
              <w:rPr>
                <w:b/>
                <w:bCs/>
                <w:szCs w:val="20"/>
              </w:rPr>
            </w:pPr>
            <w:r w:rsidRPr="006A7D8E">
              <w:rPr>
                <w:b/>
                <w:bCs/>
                <w:szCs w:val="20"/>
              </w:rPr>
              <w:t>employee</w:t>
            </w:r>
          </w:p>
        </w:tc>
        <w:tc>
          <w:tcPr>
            <w:tcW w:w="1134" w:type="dxa"/>
            <w:shd w:val="clear" w:color="auto" w:fill="auto"/>
          </w:tcPr>
          <w:p w14:paraId="46FD7ACA" w14:textId="77777777" w:rsidR="00BD547D" w:rsidRPr="006A7D8E" w:rsidRDefault="00BD547D" w:rsidP="00E33150">
            <w:pPr>
              <w:pStyle w:val="MPLParapgrah"/>
              <w:spacing w:after="120"/>
              <w:rPr>
                <w:b/>
                <w:bCs/>
                <w:szCs w:val="20"/>
              </w:rPr>
            </w:pPr>
            <w:r w:rsidRPr="006A7D8E">
              <w:rPr>
                <w:b/>
                <w:bCs/>
                <w:szCs w:val="20"/>
              </w:rPr>
              <w:t>Casual</w:t>
            </w:r>
          </w:p>
          <w:p w14:paraId="055C7CB1" w14:textId="77777777" w:rsidR="00BD547D" w:rsidRPr="006A7D8E" w:rsidRDefault="00BD547D" w:rsidP="00E33150">
            <w:pPr>
              <w:pStyle w:val="MPLParapgrah"/>
              <w:spacing w:after="120"/>
              <w:rPr>
                <w:b/>
                <w:bCs/>
                <w:szCs w:val="20"/>
              </w:rPr>
            </w:pPr>
            <w:r w:rsidRPr="006A7D8E">
              <w:rPr>
                <w:b/>
                <w:bCs/>
                <w:szCs w:val="20"/>
              </w:rPr>
              <w:t>employee</w:t>
            </w:r>
          </w:p>
        </w:tc>
        <w:tc>
          <w:tcPr>
            <w:tcW w:w="3402" w:type="dxa"/>
            <w:shd w:val="clear" w:color="auto" w:fill="auto"/>
          </w:tcPr>
          <w:p w14:paraId="48283598" w14:textId="77777777" w:rsidR="00BD547D" w:rsidRPr="006A7D8E" w:rsidRDefault="00BD547D" w:rsidP="00E33150">
            <w:pPr>
              <w:pStyle w:val="MPLParapgrah"/>
              <w:spacing w:after="120"/>
              <w:rPr>
                <w:b/>
                <w:bCs/>
                <w:szCs w:val="20"/>
              </w:rPr>
            </w:pPr>
            <w:r w:rsidRPr="006A7D8E">
              <w:rPr>
                <w:b/>
                <w:bCs/>
                <w:szCs w:val="20"/>
              </w:rPr>
              <w:t>Notes</w:t>
            </w:r>
          </w:p>
        </w:tc>
        <w:tc>
          <w:tcPr>
            <w:tcW w:w="1320" w:type="dxa"/>
            <w:shd w:val="clear" w:color="auto" w:fill="auto"/>
          </w:tcPr>
          <w:p w14:paraId="499CD0E6" w14:textId="77777777" w:rsidR="00BD547D" w:rsidRPr="006A7D8E" w:rsidRDefault="00BD547D" w:rsidP="00E33150">
            <w:pPr>
              <w:pStyle w:val="MPLParapgrah"/>
              <w:spacing w:after="120"/>
              <w:rPr>
                <w:b/>
                <w:bCs/>
                <w:szCs w:val="20"/>
              </w:rPr>
            </w:pPr>
            <w:r w:rsidRPr="006A7D8E">
              <w:rPr>
                <w:b/>
                <w:bCs/>
                <w:szCs w:val="20"/>
              </w:rPr>
              <w:t>EA clause and other references</w:t>
            </w:r>
          </w:p>
        </w:tc>
      </w:tr>
      <w:tr w:rsidR="00BD547D" w:rsidRPr="00165139" w14:paraId="4B38B521" w14:textId="77777777" w:rsidTr="002C5AFE">
        <w:tc>
          <w:tcPr>
            <w:tcW w:w="1809" w:type="dxa"/>
          </w:tcPr>
          <w:p w14:paraId="441B64B0" w14:textId="77777777" w:rsidR="00BD547D" w:rsidRPr="00165139" w:rsidRDefault="00BD547D" w:rsidP="00E33150">
            <w:pPr>
              <w:pStyle w:val="MPLParapgrah"/>
              <w:spacing w:after="120"/>
            </w:pPr>
            <w:r w:rsidRPr="00165139">
              <w:t>Public Holidays (including Year-end Closure Period)</w:t>
            </w:r>
          </w:p>
        </w:tc>
        <w:tc>
          <w:tcPr>
            <w:tcW w:w="1276" w:type="dxa"/>
          </w:tcPr>
          <w:p w14:paraId="69F29F75" w14:textId="77777777" w:rsidR="00BD547D" w:rsidRPr="00F11DC0" w:rsidRDefault="00BD547D" w:rsidP="00E33150">
            <w:pPr>
              <w:pStyle w:val="MPLParapgrah"/>
              <w:spacing w:after="120"/>
            </w:pPr>
            <w:r>
              <w:t>Yes</w:t>
            </w:r>
          </w:p>
        </w:tc>
        <w:tc>
          <w:tcPr>
            <w:tcW w:w="1134" w:type="dxa"/>
          </w:tcPr>
          <w:p w14:paraId="1BDC3E72" w14:textId="77777777" w:rsidR="00BD547D" w:rsidRPr="00165139" w:rsidRDefault="00BD547D" w:rsidP="00E33150">
            <w:pPr>
              <w:pStyle w:val="MPLParapgrah"/>
              <w:spacing w:after="120"/>
            </w:pPr>
            <w:r>
              <w:t>Yes</w:t>
            </w:r>
          </w:p>
        </w:tc>
        <w:tc>
          <w:tcPr>
            <w:tcW w:w="1134" w:type="dxa"/>
          </w:tcPr>
          <w:p w14:paraId="6B546750" w14:textId="77777777" w:rsidR="00BD547D" w:rsidRPr="00165139" w:rsidRDefault="00BD547D" w:rsidP="00E33150">
            <w:pPr>
              <w:pStyle w:val="MPLParapgrah"/>
              <w:spacing w:after="120"/>
            </w:pPr>
            <w:r>
              <w:t>No</w:t>
            </w:r>
          </w:p>
        </w:tc>
        <w:tc>
          <w:tcPr>
            <w:tcW w:w="3402" w:type="dxa"/>
          </w:tcPr>
          <w:p w14:paraId="200C6858" w14:textId="77777777" w:rsidR="00BD547D" w:rsidRPr="00165139" w:rsidRDefault="00BD547D" w:rsidP="00E33150">
            <w:pPr>
              <w:pStyle w:val="MPLParapgrah"/>
              <w:spacing w:after="120"/>
            </w:pPr>
            <w:r>
              <w:t xml:space="preserve">Available to part-time employees </w:t>
            </w:r>
            <w:r w:rsidRPr="000877CB">
              <w:t>on the days they would normally work.</w:t>
            </w:r>
          </w:p>
        </w:tc>
        <w:tc>
          <w:tcPr>
            <w:tcW w:w="1320" w:type="dxa"/>
          </w:tcPr>
          <w:p w14:paraId="170BAA40" w14:textId="77777777" w:rsidR="00BD547D" w:rsidRPr="00165139" w:rsidRDefault="00BD547D" w:rsidP="00E33150">
            <w:pPr>
              <w:pStyle w:val="MPLParapgrah"/>
              <w:spacing w:after="120"/>
            </w:pPr>
            <w:r w:rsidRPr="00165139">
              <w:t>1.18</w:t>
            </w:r>
          </w:p>
          <w:p w14:paraId="358F0828" w14:textId="77777777" w:rsidR="00BD547D" w:rsidRPr="00165139" w:rsidRDefault="00BD547D" w:rsidP="00E33150">
            <w:pPr>
              <w:pStyle w:val="MPLParapgrah"/>
              <w:spacing w:after="120"/>
            </w:pPr>
            <w:r w:rsidRPr="00165139">
              <w:t>NES</w:t>
            </w:r>
          </w:p>
        </w:tc>
      </w:tr>
      <w:tr w:rsidR="00BD547D" w:rsidRPr="00165139" w14:paraId="29710262" w14:textId="77777777" w:rsidTr="002C5AFE">
        <w:tc>
          <w:tcPr>
            <w:tcW w:w="1809" w:type="dxa"/>
          </w:tcPr>
          <w:p w14:paraId="5989A195" w14:textId="77777777" w:rsidR="00BD547D" w:rsidRPr="00165139" w:rsidRDefault="00BD547D" w:rsidP="00E33150">
            <w:pPr>
              <w:pStyle w:val="MPLParapgrah"/>
              <w:spacing w:after="120"/>
            </w:pPr>
            <w:r w:rsidRPr="00165139">
              <w:t xml:space="preserve">Annual leave </w:t>
            </w:r>
          </w:p>
          <w:p w14:paraId="1008AEDE" w14:textId="77777777" w:rsidR="00BD547D" w:rsidRPr="00165139" w:rsidRDefault="00BD547D" w:rsidP="00E33150">
            <w:pPr>
              <w:pStyle w:val="MPLParapgrah"/>
              <w:spacing w:after="120"/>
            </w:pPr>
          </w:p>
        </w:tc>
        <w:tc>
          <w:tcPr>
            <w:tcW w:w="1276" w:type="dxa"/>
          </w:tcPr>
          <w:p w14:paraId="3829370B" w14:textId="77777777" w:rsidR="00BD547D" w:rsidRPr="00165139" w:rsidRDefault="00BD547D" w:rsidP="00E33150">
            <w:pPr>
              <w:pStyle w:val="MPLParapgrah"/>
              <w:spacing w:after="120"/>
            </w:pPr>
            <w:r>
              <w:t>Yes</w:t>
            </w:r>
          </w:p>
        </w:tc>
        <w:tc>
          <w:tcPr>
            <w:tcW w:w="1134" w:type="dxa"/>
          </w:tcPr>
          <w:p w14:paraId="203163E9" w14:textId="77777777" w:rsidR="00BD547D" w:rsidRPr="00DD5120" w:rsidRDefault="00BD547D" w:rsidP="00E33150">
            <w:pPr>
              <w:pStyle w:val="MPLParapgrah"/>
              <w:spacing w:after="120"/>
            </w:pPr>
            <w:r>
              <w:t>Yes</w:t>
            </w:r>
          </w:p>
        </w:tc>
        <w:tc>
          <w:tcPr>
            <w:tcW w:w="1134" w:type="dxa"/>
          </w:tcPr>
          <w:p w14:paraId="21D29CFD" w14:textId="77777777" w:rsidR="00BD547D" w:rsidRPr="00DD5120" w:rsidRDefault="00BD547D" w:rsidP="00E33150">
            <w:pPr>
              <w:pStyle w:val="MPLParapgrah"/>
              <w:spacing w:after="120"/>
            </w:pPr>
            <w:r>
              <w:t>No</w:t>
            </w:r>
          </w:p>
        </w:tc>
        <w:tc>
          <w:tcPr>
            <w:tcW w:w="3402" w:type="dxa"/>
          </w:tcPr>
          <w:p w14:paraId="27DD6A5B" w14:textId="77777777" w:rsidR="00BD547D" w:rsidRPr="00165139" w:rsidRDefault="00BD547D" w:rsidP="00E33150">
            <w:pPr>
              <w:pStyle w:val="MPLParapgrah"/>
              <w:spacing w:after="120"/>
            </w:pPr>
            <w:r w:rsidRPr="00165139">
              <w:t>Note also that:</w:t>
            </w:r>
          </w:p>
          <w:p w14:paraId="7445F3BB" w14:textId="77777777" w:rsidR="00BD547D" w:rsidRPr="00165139" w:rsidRDefault="00BD547D" w:rsidP="00866DBB">
            <w:pPr>
              <w:pStyle w:val="MPLParapgrah"/>
              <w:numPr>
                <w:ilvl w:val="0"/>
                <w:numId w:val="22"/>
              </w:numPr>
              <w:spacing w:after="120"/>
            </w:pPr>
            <w:r w:rsidRPr="00165139">
              <w:t xml:space="preserve">Employees may apply for additional Purchased Annual Leave (see 1.19.13 -1.19.14) </w:t>
            </w:r>
          </w:p>
          <w:p w14:paraId="3AA4427F" w14:textId="77777777" w:rsidR="00BD547D" w:rsidRPr="00165139" w:rsidRDefault="00BD547D" w:rsidP="00866DBB">
            <w:pPr>
              <w:pStyle w:val="MPLParapgrah"/>
              <w:numPr>
                <w:ilvl w:val="0"/>
                <w:numId w:val="22"/>
              </w:numPr>
              <w:spacing w:after="120"/>
            </w:pPr>
            <w:r w:rsidRPr="00165139">
              <w:t xml:space="preserve">For the purposes of the NES, an employee entitled to 5 weeks' annual leave means a 7 day </w:t>
            </w:r>
            <w:proofErr w:type="spellStart"/>
            <w:r w:rsidRPr="00165139">
              <w:t>shiftworker</w:t>
            </w:r>
            <w:proofErr w:type="spellEnd"/>
            <w:r w:rsidRPr="00165139">
              <w:t xml:space="preserve"> (see 1.19.15)</w:t>
            </w:r>
          </w:p>
        </w:tc>
        <w:tc>
          <w:tcPr>
            <w:tcW w:w="1320" w:type="dxa"/>
          </w:tcPr>
          <w:p w14:paraId="4A97DBD3" w14:textId="77777777" w:rsidR="00BD547D" w:rsidRPr="00165139" w:rsidRDefault="00BD547D" w:rsidP="00E33150">
            <w:pPr>
              <w:pStyle w:val="MPLParapgrah"/>
              <w:spacing w:after="120"/>
            </w:pPr>
            <w:r w:rsidRPr="00165139">
              <w:t>1.19</w:t>
            </w:r>
          </w:p>
          <w:p w14:paraId="3ED917C0" w14:textId="77777777" w:rsidR="00BD547D" w:rsidRPr="00165139" w:rsidRDefault="00BD547D" w:rsidP="00E33150">
            <w:pPr>
              <w:pStyle w:val="MPLParapgrah"/>
              <w:spacing w:after="120"/>
            </w:pPr>
            <w:r w:rsidRPr="00165139">
              <w:t>NES</w:t>
            </w:r>
          </w:p>
        </w:tc>
      </w:tr>
      <w:tr w:rsidR="00BD547D" w:rsidRPr="00165139" w14:paraId="640CD16A" w14:textId="77777777" w:rsidTr="002C5AFE">
        <w:tc>
          <w:tcPr>
            <w:tcW w:w="1809" w:type="dxa"/>
          </w:tcPr>
          <w:p w14:paraId="6F753713" w14:textId="77777777" w:rsidR="00BD547D" w:rsidRPr="00165139" w:rsidRDefault="00BD547D" w:rsidP="00E33150">
            <w:pPr>
              <w:pStyle w:val="MPLParapgrah"/>
              <w:spacing w:after="120"/>
            </w:pPr>
            <w:r w:rsidRPr="00165139">
              <w:lastRenderedPageBreak/>
              <w:t>Long service leave</w:t>
            </w:r>
          </w:p>
          <w:p w14:paraId="7ECECD0F" w14:textId="77777777" w:rsidR="00BD547D" w:rsidRPr="00165139" w:rsidRDefault="00BD547D" w:rsidP="00E33150">
            <w:pPr>
              <w:pStyle w:val="MPLParapgrah"/>
              <w:spacing w:after="120"/>
            </w:pPr>
          </w:p>
        </w:tc>
        <w:tc>
          <w:tcPr>
            <w:tcW w:w="1276" w:type="dxa"/>
          </w:tcPr>
          <w:p w14:paraId="5E9DADB6" w14:textId="77777777" w:rsidR="00BD547D" w:rsidRPr="00165139" w:rsidRDefault="00BD547D" w:rsidP="00E33150">
            <w:pPr>
              <w:pStyle w:val="MPLParapgrah"/>
              <w:spacing w:after="120"/>
            </w:pPr>
            <w:r w:rsidRPr="00A36BFA">
              <w:t>Yes</w:t>
            </w:r>
          </w:p>
        </w:tc>
        <w:tc>
          <w:tcPr>
            <w:tcW w:w="1134" w:type="dxa"/>
          </w:tcPr>
          <w:p w14:paraId="621E034B" w14:textId="77777777" w:rsidR="00BD547D" w:rsidRPr="00DD5120" w:rsidRDefault="00BD547D" w:rsidP="00E33150">
            <w:pPr>
              <w:pStyle w:val="MPLParapgrah"/>
              <w:spacing w:after="120"/>
            </w:pPr>
            <w:r w:rsidRPr="00A36BFA">
              <w:t>Yes</w:t>
            </w:r>
          </w:p>
        </w:tc>
        <w:tc>
          <w:tcPr>
            <w:tcW w:w="1134" w:type="dxa"/>
          </w:tcPr>
          <w:p w14:paraId="34714ED4" w14:textId="77777777" w:rsidR="00BD547D" w:rsidRPr="00DD5120" w:rsidRDefault="00BD547D" w:rsidP="00E33150">
            <w:pPr>
              <w:pStyle w:val="MPLParapgrah"/>
              <w:spacing w:after="120"/>
            </w:pPr>
            <w:r w:rsidRPr="00A36BFA">
              <w:t>Yes</w:t>
            </w:r>
          </w:p>
        </w:tc>
        <w:tc>
          <w:tcPr>
            <w:tcW w:w="3402" w:type="dxa"/>
          </w:tcPr>
          <w:p w14:paraId="79E9FB25" w14:textId="77777777" w:rsidR="00BD547D" w:rsidRPr="00165139" w:rsidRDefault="00BD547D" w:rsidP="00E33150">
            <w:pPr>
              <w:pStyle w:val="MPLParapgrah"/>
              <w:spacing w:after="120"/>
            </w:pPr>
          </w:p>
        </w:tc>
        <w:tc>
          <w:tcPr>
            <w:tcW w:w="1320" w:type="dxa"/>
          </w:tcPr>
          <w:p w14:paraId="2054BC5F" w14:textId="77777777" w:rsidR="00BD547D" w:rsidRPr="00165139" w:rsidRDefault="00BD547D" w:rsidP="00E33150">
            <w:pPr>
              <w:pStyle w:val="MPLParapgrah"/>
              <w:spacing w:after="120"/>
            </w:pPr>
            <w:r w:rsidRPr="00165139">
              <w:t xml:space="preserve">1.20 </w:t>
            </w:r>
          </w:p>
          <w:p w14:paraId="6DCB3AC9" w14:textId="77777777" w:rsidR="00BD547D" w:rsidRPr="00165139" w:rsidRDefault="00BD547D" w:rsidP="00E33150">
            <w:pPr>
              <w:pStyle w:val="MPLParapgrah"/>
              <w:spacing w:after="120"/>
            </w:pPr>
            <w:r w:rsidRPr="00165139">
              <w:t>NES</w:t>
            </w:r>
          </w:p>
          <w:p w14:paraId="289B2CA7" w14:textId="77777777" w:rsidR="00BD547D" w:rsidRPr="00165139" w:rsidRDefault="00BD547D" w:rsidP="00E33150">
            <w:pPr>
              <w:pStyle w:val="MPLParapgrah"/>
              <w:spacing w:after="120"/>
            </w:pPr>
            <w:r w:rsidRPr="00165139">
              <w:rPr>
                <w:rFonts w:cstheme="minorBidi"/>
                <w:i/>
              </w:rPr>
              <w:t>Long Service Leave Act 2018</w:t>
            </w:r>
            <w:r w:rsidRPr="00165139">
              <w:rPr>
                <w:rFonts w:cstheme="minorBidi"/>
              </w:rPr>
              <w:t xml:space="preserve"> (Vic) </w:t>
            </w:r>
          </w:p>
        </w:tc>
      </w:tr>
      <w:tr w:rsidR="00BD547D" w:rsidRPr="00165139" w14:paraId="713A0C97" w14:textId="77777777" w:rsidTr="002C5AFE">
        <w:tc>
          <w:tcPr>
            <w:tcW w:w="1809" w:type="dxa"/>
          </w:tcPr>
          <w:p w14:paraId="5ACACC0A" w14:textId="77777777" w:rsidR="00BD547D" w:rsidRPr="00165139" w:rsidRDefault="00BD547D" w:rsidP="00E33150">
            <w:pPr>
              <w:pStyle w:val="MPLParapgrah"/>
              <w:spacing w:after="120"/>
            </w:pPr>
            <w:r w:rsidRPr="00165139">
              <w:t>Personal leave, which includes:</w:t>
            </w:r>
          </w:p>
          <w:p w14:paraId="31027121" w14:textId="77777777" w:rsidR="00BD547D" w:rsidRPr="00165139" w:rsidRDefault="00BD547D" w:rsidP="00866DBB">
            <w:pPr>
              <w:pStyle w:val="MPLParapgrah"/>
              <w:numPr>
                <w:ilvl w:val="0"/>
                <w:numId w:val="23"/>
              </w:numPr>
              <w:spacing w:after="120"/>
            </w:pPr>
            <w:r w:rsidRPr="00165139">
              <w:t>sick leave</w:t>
            </w:r>
          </w:p>
          <w:p w14:paraId="45BABC21" w14:textId="77777777" w:rsidR="00BD547D" w:rsidRPr="00165139" w:rsidRDefault="00BD547D" w:rsidP="00866DBB">
            <w:pPr>
              <w:pStyle w:val="MPLParapgrah"/>
              <w:numPr>
                <w:ilvl w:val="0"/>
                <w:numId w:val="23"/>
              </w:numPr>
              <w:spacing w:after="120"/>
            </w:pPr>
            <w:r w:rsidRPr="00165139">
              <w:t>carer’s leave</w:t>
            </w:r>
          </w:p>
          <w:p w14:paraId="27D02039" w14:textId="77777777" w:rsidR="00BD547D" w:rsidRPr="00165139" w:rsidRDefault="00BD547D" w:rsidP="00E33150">
            <w:pPr>
              <w:pStyle w:val="MPLParapgrah"/>
              <w:spacing w:after="120"/>
            </w:pPr>
          </w:p>
        </w:tc>
        <w:tc>
          <w:tcPr>
            <w:tcW w:w="1276" w:type="dxa"/>
          </w:tcPr>
          <w:p w14:paraId="7670E333" w14:textId="77777777" w:rsidR="00BD547D" w:rsidRPr="00F11DC0" w:rsidRDefault="00BD547D" w:rsidP="00E33150">
            <w:pPr>
              <w:pStyle w:val="MPLParapgrah"/>
              <w:spacing w:after="120"/>
            </w:pPr>
            <w:r w:rsidRPr="00902774">
              <w:t>Yes</w:t>
            </w:r>
          </w:p>
        </w:tc>
        <w:tc>
          <w:tcPr>
            <w:tcW w:w="1134" w:type="dxa"/>
          </w:tcPr>
          <w:p w14:paraId="63C91A14" w14:textId="77777777" w:rsidR="00BD547D" w:rsidRPr="00165139" w:rsidRDefault="00BD547D" w:rsidP="00E33150">
            <w:pPr>
              <w:pStyle w:val="MPLParapgrah"/>
              <w:spacing w:after="120"/>
            </w:pPr>
            <w:r w:rsidRPr="00902774">
              <w:t>Yes</w:t>
            </w:r>
          </w:p>
        </w:tc>
        <w:tc>
          <w:tcPr>
            <w:tcW w:w="1134" w:type="dxa"/>
          </w:tcPr>
          <w:p w14:paraId="34FA6987" w14:textId="77777777" w:rsidR="00BD547D" w:rsidRPr="00165139" w:rsidRDefault="00BD547D" w:rsidP="00E33150">
            <w:pPr>
              <w:pStyle w:val="MPLParapgrah"/>
              <w:spacing w:after="120"/>
            </w:pPr>
            <w:r>
              <w:t>No</w:t>
            </w:r>
          </w:p>
        </w:tc>
        <w:tc>
          <w:tcPr>
            <w:tcW w:w="3402" w:type="dxa"/>
          </w:tcPr>
          <w:p w14:paraId="05AF27FA" w14:textId="77777777" w:rsidR="00BD547D" w:rsidRPr="00165139" w:rsidRDefault="00BD547D" w:rsidP="00E33150">
            <w:pPr>
              <w:pStyle w:val="MPLParapgrah"/>
              <w:spacing w:after="120"/>
            </w:pPr>
            <w:r w:rsidRPr="00165139">
              <w:t>In addition to their entitlements under clause 1.21:</w:t>
            </w:r>
          </w:p>
          <w:p w14:paraId="2B9D63AF" w14:textId="77777777" w:rsidR="00BD547D" w:rsidRPr="00866DBB" w:rsidRDefault="00BD547D" w:rsidP="00866DBB">
            <w:pPr>
              <w:pStyle w:val="MPLParapgrah"/>
              <w:numPr>
                <w:ilvl w:val="0"/>
                <w:numId w:val="22"/>
              </w:numPr>
              <w:spacing w:after="120"/>
            </w:pPr>
            <w:r w:rsidRPr="00165139">
              <w:t>Australian Aboriginal and/or Torres Strait Islander employees are entitled to three (3) days’ non-cumulative Personal Leave per calendar year in the case of bereavement (pro-rated for part years of service) (1.28.5)</w:t>
            </w:r>
          </w:p>
          <w:p w14:paraId="5005FD73" w14:textId="77777777" w:rsidR="00BD547D" w:rsidRPr="00165139" w:rsidRDefault="00BD547D" w:rsidP="00866DBB">
            <w:pPr>
              <w:pStyle w:val="MPLParapgrah"/>
              <w:numPr>
                <w:ilvl w:val="0"/>
                <w:numId w:val="22"/>
              </w:numPr>
              <w:spacing w:after="120"/>
              <w:rPr>
                <w:lang w:val="en-GB" w:eastAsia="en-GB"/>
              </w:rPr>
            </w:pPr>
            <w:r w:rsidRPr="00165139">
              <w:t>All employees may apply for unpaid Carer’s leave (1.21.3) or unpaid Personal leave (1.21.4)</w:t>
            </w:r>
          </w:p>
        </w:tc>
        <w:tc>
          <w:tcPr>
            <w:tcW w:w="1320" w:type="dxa"/>
          </w:tcPr>
          <w:p w14:paraId="10D90C8E" w14:textId="77777777" w:rsidR="00BD547D" w:rsidRPr="00165139" w:rsidRDefault="00BD547D" w:rsidP="00E33150">
            <w:pPr>
              <w:pStyle w:val="MPLParapgrah"/>
              <w:spacing w:after="120"/>
            </w:pPr>
            <w:r w:rsidRPr="00165139">
              <w:t>1.21 &amp; 1.28.5</w:t>
            </w:r>
          </w:p>
          <w:p w14:paraId="71C36D03" w14:textId="77777777" w:rsidR="00BD547D" w:rsidRPr="00165139" w:rsidRDefault="00BD547D" w:rsidP="00E33150">
            <w:pPr>
              <w:pStyle w:val="MPLParapgrah"/>
              <w:spacing w:after="120"/>
            </w:pPr>
            <w:r w:rsidRPr="00165139">
              <w:t>NES</w:t>
            </w:r>
          </w:p>
        </w:tc>
      </w:tr>
      <w:tr w:rsidR="00BD547D" w:rsidRPr="00165139" w14:paraId="1FD51D35" w14:textId="77777777" w:rsidTr="002C5AFE">
        <w:tc>
          <w:tcPr>
            <w:tcW w:w="1809" w:type="dxa"/>
          </w:tcPr>
          <w:p w14:paraId="5B01EA79" w14:textId="77777777" w:rsidR="00BD547D" w:rsidRPr="00165139" w:rsidRDefault="00BD547D" w:rsidP="00E33150">
            <w:pPr>
              <w:pStyle w:val="MPLParapgrah"/>
              <w:spacing w:after="120"/>
            </w:pPr>
            <w:r w:rsidRPr="00165139">
              <w:t>Special leave</w:t>
            </w:r>
          </w:p>
          <w:p w14:paraId="738D1A44" w14:textId="77777777" w:rsidR="00BD547D" w:rsidRPr="00165139" w:rsidRDefault="00BD547D" w:rsidP="00E33150">
            <w:pPr>
              <w:pStyle w:val="MPLParapgrah"/>
              <w:spacing w:after="120"/>
            </w:pPr>
          </w:p>
        </w:tc>
        <w:tc>
          <w:tcPr>
            <w:tcW w:w="1276" w:type="dxa"/>
          </w:tcPr>
          <w:p w14:paraId="07359BA4" w14:textId="77777777" w:rsidR="00BD547D" w:rsidRPr="00165139" w:rsidRDefault="00BD547D" w:rsidP="00E33150">
            <w:pPr>
              <w:pStyle w:val="MPLParapgrah"/>
              <w:spacing w:after="120"/>
            </w:pPr>
            <w:r w:rsidRPr="00902774">
              <w:t>Yes</w:t>
            </w:r>
          </w:p>
        </w:tc>
        <w:tc>
          <w:tcPr>
            <w:tcW w:w="1134" w:type="dxa"/>
          </w:tcPr>
          <w:p w14:paraId="2EA09CA6" w14:textId="77777777" w:rsidR="00BD547D" w:rsidRPr="00165139" w:rsidRDefault="00BD547D" w:rsidP="00E33150">
            <w:pPr>
              <w:pStyle w:val="MPLParapgrah"/>
              <w:spacing w:after="120"/>
            </w:pPr>
            <w:r w:rsidRPr="00902774">
              <w:t>Yes</w:t>
            </w:r>
          </w:p>
        </w:tc>
        <w:tc>
          <w:tcPr>
            <w:tcW w:w="1134" w:type="dxa"/>
          </w:tcPr>
          <w:p w14:paraId="62A65D60" w14:textId="77777777" w:rsidR="00BD547D" w:rsidRPr="00165139" w:rsidRDefault="00BD547D" w:rsidP="00E33150">
            <w:pPr>
              <w:pStyle w:val="MPLParapgrah"/>
              <w:spacing w:after="120"/>
            </w:pPr>
            <w:r>
              <w:t>No</w:t>
            </w:r>
          </w:p>
        </w:tc>
        <w:tc>
          <w:tcPr>
            <w:tcW w:w="3402" w:type="dxa"/>
          </w:tcPr>
          <w:p w14:paraId="23591A3F" w14:textId="77777777" w:rsidR="00BD547D" w:rsidRPr="00433C0E" w:rsidRDefault="00BD547D" w:rsidP="00E33150">
            <w:pPr>
              <w:pStyle w:val="MPLParapgrah"/>
              <w:spacing w:after="120"/>
            </w:pPr>
            <w:r>
              <w:t xml:space="preserve">Available </w:t>
            </w:r>
            <w:r w:rsidRPr="00433C0E">
              <w:t>where the employee cannot reasonably perform work due to:</w:t>
            </w:r>
          </w:p>
          <w:p w14:paraId="2C50ABB8" w14:textId="77777777" w:rsidR="00BD547D" w:rsidRDefault="00BD547D" w:rsidP="00866DBB">
            <w:pPr>
              <w:pStyle w:val="MPLParapgrah"/>
              <w:numPr>
                <w:ilvl w:val="0"/>
                <w:numId w:val="24"/>
              </w:numPr>
              <w:spacing w:after="120"/>
            </w:pPr>
            <w:r w:rsidRPr="00433C0E">
              <w:t>significant menstruatio</w:t>
            </w:r>
            <w:r>
              <w:t>n</w:t>
            </w:r>
            <w:r w:rsidRPr="00433C0E">
              <w:t>, perimenopause or menopause symptoms, or</w:t>
            </w:r>
          </w:p>
          <w:p w14:paraId="2DD87A9A" w14:textId="77777777" w:rsidR="00BD547D" w:rsidRPr="00165139" w:rsidRDefault="00BD547D" w:rsidP="00866DBB">
            <w:pPr>
              <w:pStyle w:val="MPLParapgrah"/>
              <w:numPr>
                <w:ilvl w:val="0"/>
                <w:numId w:val="24"/>
              </w:numPr>
              <w:spacing w:after="120"/>
            </w:pPr>
            <w:r w:rsidRPr="00165139">
              <w:t>chronic ongoing health issues or medical treatment.</w:t>
            </w:r>
          </w:p>
        </w:tc>
        <w:tc>
          <w:tcPr>
            <w:tcW w:w="1320" w:type="dxa"/>
          </w:tcPr>
          <w:p w14:paraId="64E427BB" w14:textId="77777777" w:rsidR="00BD547D" w:rsidRPr="00165139" w:rsidRDefault="00BD547D" w:rsidP="00E33150">
            <w:pPr>
              <w:pStyle w:val="MPLParapgrah"/>
              <w:spacing w:after="120"/>
            </w:pPr>
            <w:r w:rsidRPr="00165139">
              <w:t>1.22</w:t>
            </w:r>
          </w:p>
        </w:tc>
      </w:tr>
      <w:tr w:rsidR="00BD547D" w:rsidRPr="00165139" w14:paraId="756BB4F3" w14:textId="77777777" w:rsidTr="002C5AFE">
        <w:tc>
          <w:tcPr>
            <w:tcW w:w="1809" w:type="dxa"/>
          </w:tcPr>
          <w:p w14:paraId="4DCE3FC9" w14:textId="77777777" w:rsidR="00BD547D" w:rsidRPr="00165139" w:rsidRDefault="00BD547D" w:rsidP="00E33150">
            <w:pPr>
              <w:pStyle w:val="MPLParapgrah"/>
              <w:spacing w:after="120"/>
            </w:pPr>
            <w:r w:rsidRPr="00165139">
              <w:t>Infectious diseases leave</w:t>
            </w:r>
          </w:p>
        </w:tc>
        <w:tc>
          <w:tcPr>
            <w:tcW w:w="1276" w:type="dxa"/>
          </w:tcPr>
          <w:p w14:paraId="7C71F16F" w14:textId="77777777" w:rsidR="00BD547D" w:rsidRPr="00165139" w:rsidRDefault="00BD547D" w:rsidP="00E33150">
            <w:pPr>
              <w:pStyle w:val="MPLParapgrah"/>
              <w:spacing w:after="120"/>
            </w:pPr>
            <w:r w:rsidRPr="00902774">
              <w:t>Yes</w:t>
            </w:r>
          </w:p>
        </w:tc>
        <w:tc>
          <w:tcPr>
            <w:tcW w:w="1134" w:type="dxa"/>
          </w:tcPr>
          <w:p w14:paraId="3A483359" w14:textId="77777777" w:rsidR="00BD547D" w:rsidRPr="00165139" w:rsidRDefault="00BD547D" w:rsidP="00E33150">
            <w:pPr>
              <w:pStyle w:val="MPLParapgrah"/>
              <w:spacing w:after="120"/>
            </w:pPr>
            <w:r w:rsidRPr="00902774">
              <w:t>Yes</w:t>
            </w:r>
          </w:p>
        </w:tc>
        <w:tc>
          <w:tcPr>
            <w:tcW w:w="1134" w:type="dxa"/>
          </w:tcPr>
          <w:p w14:paraId="7EE6B944" w14:textId="77777777" w:rsidR="00BD547D" w:rsidRPr="00165139" w:rsidRDefault="00BD547D" w:rsidP="00E33150">
            <w:pPr>
              <w:pStyle w:val="MPLParapgrah"/>
              <w:spacing w:after="120"/>
            </w:pPr>
            <w:r>
              <w:t>No</w:t>
            </w:r>
          </w:p>
        </w:tc>
        <w:tc>
          <w:tcPr>
            <w:tcW w:w="3402" w:type="dxa"/>
          </w:tcPr>
          <w:p w14:paraId="745E6108" w14:textId="77777777" w:rsidR="00BD547D" w:rsidRPr="00165139" w:rsidRDefault="00BD547D" w:rsidP="00E33150">
            <w:pPr>
              <w:pStyle w:val="MPLParapgrah"/>
              <w:spacing w:after="120"/>
            </w:pPr>
            <w:r>
              <w:t xml:space="preserve">Available </w:t>
            </w:r>
            <w:r w:rsidRPr="000D012F">
              <w:t xml:space="preserve">where the employee cares for children in one of the University’s Early Learning/Children’s </w:t>
            </w:r>
            <w:proofErr w:type="spellStart"/>
            <w:r w:rsidRPr="000D012F">
              <w:t>Centres</w:t>
            </w:r>
            <w:proofErr w:type="spellEnd"/>
            <w:r w:rsidRPr="000D012F">
              <w:t xml:space="preserve"> (an Early Childhood Employee)</w:t>
            </w:r>
          </w:p>
        </w:tc>
        <w:tc>
          <w:tcPr>
            <w:tcW w:w="1320" w:type="dxa"/>
          </w:tcPr>
          <w:p w14:paraId="63BD6F82" w14:textId="77777777" w:rsidR="00BD547D" w:rsidRPr="00165139" w:rsidRDefault="00BD547D" w:rsidP="00E33150">
            <w:pPr>
              <w:pStyle w:val="MPLParapgrah"/>
              <w:spacing w:after="120"/>
            </w:pPr>
            <w:r w:rsidRPr="00165139">
              <w:t>1.22.6</w:t>
            </w:r>
          </w:p>
        </w:tc>
      </w:tr>
      <w:tr w:rsidR="00BD547D" w:rsidRPr="00165139" w14:paraId="22CC0BFF" w14:textId="77777777" w:rsidTr="002C5AFE">
        <w:tc>
          <w:tcPr>
            <w:tcW w:w="1809" w:type="dxa"/>
          </w:tcPr>
          <w:p w14:paraId="4009CF9B" w14:textId="77777777" w:rsidR="00BD547D" w:rsidRPr="00165139" w:rsidRDefault="00BD547D" w:rsidP="00E33150">
            <w:pPr>
              <w:pStyle w:val="MPLParapgrah"/>
              <w:spacing w:after="120"/>
            </w:pPr>
            <w:r w:rsidRPr="00165139">
              <w:t>Gender affirmation leave</w:t>
            </w:r>
          </w:p>
        </w:tc>
        <w:tc>
          <w:tcPr>
            <w:tcW w:w="1276" w:type="dxa"/>
          </w:tcPr>
          <w:p w14:paraId="536E3491" w14:textId="77777777" w:rsidR="00BD547D" w:rsidRPr="00165139" w:rsidRDefault="00BD547D" w:rsidP="00E33150">
            <w:pPr>
              <w:pStyle w:val="MPLParapgrah"/>
              <w:spacing w:after="120"/>
            </w:pPr>
            <w:r w:rsidRPr="00902774">
              <w:t>Yes</w:t>
            </w:r>
          </w:p>
        </w:tc>
        <w:tc>
          <w:tcPr>
            <w:tcW w:w="1134" w:type="dxa"/>
          </w:tcPr>
          <w:p w14:paraId="45E36E8D" w14:textId="77777777" w:rsidR="00BD547D" w:rsidRPr="00165139" w:rsidRDefault="00BD547D" w:rsidP="00E33150">
            <w:pPr>
              <w:pStyle w:val="MPLParapgrah"/>
              <w:spacing w:after="120"/>
            </w:pPr>
            <w:r w:rsidRPr="00902774">
              <w:t>Yes</w:t>
            </w:r>
          </w:p>
        </w:tc>
        <w:tc>
          <w:tcPr>
            <w:tcW w:w="1134" w:type="dxa"/>
          </w:tcPr>
          <w:p w14:paraId="4114E2D3" w14:textId="77777777" w:rsidR="00BD547D" w:rsidRPr="00165139" w:rsidRDefault="00BD547D" w:rsidP="00E33150">
            <w:pPr>
              <w:pStyle w:val="MPLParapgrah"/>
              <w:spacing w:after="120"/>
            </w:pPr>
            <w:r>
              <w:t>Yes</w:t>
            </w:r>
            <w:r w:rsidRPr="00165139">
              <w:t xml:space="preserve"> </w:t>
            </w:r>
          </w:p>
        </w:tc>
        <w:tc>
          <w:tcPr>
            <w:tcW w:w="3402" w:type="dxa"/>
          </w:tcPr>
          <w:p w14:paraId="594E9D0E" w14:textId="77777777" w:rsidR="00BD547D" w:rsidRDefault="00BD547D" w:rsidP="00E33150">
            <w:pPr>
              <w:pStyle w:val="MPLParapgrah"/>
              <w:spacing w:after="120"/>
            </w:pPr>
            <w:r>
              <w:t xml:space="preserve">Available </w:t>
            </w:r>
            <w:r w:rsidRPr="00591535">
              <w:t>where the employees is undergoing gender affirmation.</w:t>
            </w:r>
          </w:p>
          <w:p w14:paraId="37EC0B36" w14:textId="77777777" w:rsidR="00BD547D" w:rsidRDefault="00BD547D" w:rsidP="00E33150">
            <w:pPr>
              <w:pStyle w:val="MPLParapgrah"/>
              <w:spacing w:after="120"/>
            </w:pPr>
          </w:p>
          <w:p w14:paraId="7576EA62" w14:textId="77777777" w:rsidR="00BD547D" w:rsidRPr="00165139" w:rsidRDefault="00BD547D" w:rsidP="00E33150">
            <w:pPr>
              <w:pStyle w:val="MPLParapgrah"/>
              <w:spacing w:after="120"/>
            </w:pPr>
            <w:r w:rsidRPr="00165139">
              <w:t>Note also that:</w:t>
            </w:r>
          </w:p>
          <w:p w14:paraId="6E0AB4A6" w14:textId="77777777" w:rsidR="00BD547D" w:rsidRPr="00165139" w:rsidRDefault="00BD547D" w:rsidP="00866DBB">
            <w:pPr>
              <w:pStyle w:val="MPLParapgrah"/>
              <w:numPr>
                <w:ilvl w:val="0"/>
                <w:numId w:val="25"/>
              </w:numPr>
              <w:spacing w:after="120"/>
            </w:pPr>
            <w:r w:rsidRPr="00165139">
              <w:t xml:space="preserve">This leave can be accessed prior to accessing accrued Personal Leave </w:t>
            </w:r>
          </w:p>
          <w:p w14:paraId="2BC138AB" w14:textId="77777777" w:rsidR="00BD547D" w:rsidRPr="00165139" w:rsidRDefault="00BD547D" w:rsidP="00866DBB">
            <w:pPr>
              <w:pStyle w:val="MPLParapgrah"/>
              <w:numPr>
                <w:ilvl w:val="0"/>
                <w:numId w:val="25"/>
              </w:numPr>
              <w:spacing w:after="120"/>
            </w:pPr>
            <w:r w:rsidRPr="00165139">
              <w:lastRenderedPageBreak/>
              <w:t>The employee can apply for additional unpaid Gender Affirmation Leave</w:t>
            </w:r>
          </w:p>
          <w:p w14:paraId="2EA7D568" w14:textId="38232700" w:rsidR="00BD547D" w:rsidRPr="00165139" w:rsidRDefault="00BD547D" w:rsidP="00866DBB">
            <w:pPr>
              <w:pStyle w:val="MPLParapgrah"/>
              <w:numPr>
                <w:ilvl w:val="0"/>
                <w:numId w:val="25"/>
              </w:numPr>
              <w:spacing w:after="120"/>
            </w:pPr>
            <w:r w:rsidRPr="00165139">
              <w:t xml:space="preserve">Support is also provided by the University under the </w:t>
            </w:r>
            <w:r w:rsidR="0002044A" w:rsidRPr="00866DBB">
              <w:t>Gender Affirmation Policy</w:t>
            </w:r>
            <w:r w:rsidRPr="00E81940">
              <w:rPr>
                <w:color w:val="2D2D2D"/>
                <w:shd w:val="clear" w:color="auto" w:fill="FFFFFF"/>
              </w:rPr>
              <w:t> (</w:t>
            </w:r>
            <w:hyperlink r:id="rId13" w:history="1">
              <w:r w:rsidRPr="0002044A">
                <w:rPr>
                  <w:rStyle w:val="Hyperlink"/>
                  <w:shd w:val="clear" w:color="auto" w:fill="FFFFFF"/>
                  <w:lang w:val="en-AU"/>
                </w:rPr>
                <w:t>MPF1364</w:t>
              </w:r>
            </w:hyperlink>
            <w:r w:rsidRPr="00E81940">
              <w:rPr>
                <w:color w:val="2D2D2D"/>
                <w:shd w:val="clear" w:color="auto" w:fill="FFFFFF"/>
              </w:rPr>
              <w:t>)</w:t>
            </w:r>
          </w:p>
        </w:tc>
        <w:tc>
          <w:tcPr>
            <w:tcW w:w="1320" w:type="dxa"/>
          </w:tcPr>
          <w:p w14:paraId="77B2D616" w14:textId="77777777" w:rsidR="00BD547D" w:rsidRPr="00165139" w:rsidRDefault="00BD547D" w:rsidP="00E33150">
            <w:pPr>
              <w:pStyle w:val="MPLParapgrah"/>
              <w:spacing w:after="120"/>
            </w:pPr>
            <w:r w:rsidRPr="00165139">
              <w:lastRenderedPageBreak/>
              <w:t>1.23</w:t>
            </w:r>
          </w:p>
        </w:tc>
      </w:tr>
      <w:tr w:rsidR="00BD547D" w:rsidRPr="00165139" w14:paraId="49D3DB59" w14:textId="77777777" w:rsidTr="002C5AFE">
        <w:tc>
          <w:tcPr>
            <w:tcW w:w="1809" w:type="dxa"/>
          </w:tcPr>
          <w:p w14:paraId="08F4EED0" w14:textId="77777777" w:rsidR="00BD547D" w:rsidRPr="00165139" w:rsidRDefault="00BD547D" w:rsidP="00E33150">
            <w:pPr>
              <w:pStyle w:val="MPLParapgrah"/>
              <w:spacing w:after="120"/>
            </w:pPr>
            <w:r w:rsidRPr="00165139">
              <w:t>Compassionate leave</w:t>
            </w:r>
          </w:p>
          <w:p w14:paraId="377A4561" w14:textId="77777777" w:rsidR="00BD547D" w:rsidRPr="00165139" w:rsidRDefault="00BD547D" w:rsidP="00E33150">
            <w:pPr>
              <w:pStyle w:val="MPLParapgrah"/>
              <w:spacing w:after="120"/>
            </w:pPr>
          </w:p>
        </w:tc>
        <w:tc>
          <w:tcPr>
            <w:tcW w:w="1276" w:type="dxa"/>
          </w:tcPr>
          <w:p w14:paraId="68C46D55" w14:textId="77777777" w:rsidR="00BD547D" w:rsidRPr="00165139" w:rsidRDefault="00BD547D" w:rsidP="00E33150">
            <w:pPr>
              <w:pStyle w:val="MPLParapgrah"/>
              <w:spacing w:after="120"/>
            </w:pPr>
            <w:r w:rsidRPr="00276B5E">
              <w:t>Yes</w:t>
            </w:r>
          </w:p>
        </w:tc>
        <w:tc>
          <w:tcPr>
            <w:tcW w:w="1134" w:type="dxa"/>
          </w:tcPr>
          <w:p w14:paraId="52A34093" w14:textId="77777777" w:rsidR="00BD547D" w:rsidRPr="00165139" w:rsidRDefault="00BD547D" w:rsidP="00E33150">
            <w:pPr>
              <w:pStyle w:val="MPLParapgrah"/>
              <w:spacing w:after="120"/>
            </w:pPr>
            <w:r w:rsidRPr="00276B5E">
              <w:t>Yes</w:t>
            </w:r>
          </w:p>
        </w:tc>
        <w:tc>
          <w:tcPr>
            <w:tcW w:w="1134" w:type="dxa"/>
          </w:tcPr>
          <w:p w14:paraId="5BF13A6A" w14:textId="77777777" w:rsidR="00BD547D" w:rsidRPr="00F674CA" w:rsidRDefault="00BD547D" w:rsidP="00E33150">
            <w:pPr>
              <w:pStyle w:val="MPLParapgrah"/>
              <w:spacing w:after="120"/>
            </w:pPr>
            <w:r>
              <w:t>No</w:t>
            </w:r>
          </w:p>
          <w:p w14:paraId="505AEDBE" w14:textId="77777777" w:rsidR="00BD547D" w:rsidRPr="00165139" w:rsidRDefault="00BD547D" w:rsidP="00E33150">
            <w:pPr>
              <w:pStyle w:val="MPLParapgrah"/>
              <w:spacing w:after="120"/>
            </w:pPr>
            <w:r>
              <w:t>(</w:t>
            </w:r>
            <w:r w:rsidRPr="00A27CD6">
              <w:t>but</w:t>
            </w:r>
            <w:r>
              <w:t xml:space="preserve"> </w:t>
            </w:r>
            <w:r w:rsidRPr="00A27CD6">
              <w:t>entitled to unpaid Compassion</w:t>
            </w:r>
            <w:r>
              <w:t>-</w:t>
            </w:r>
            <w:r w:rsidRPr="00A27CD6">
              <w:t>ate leave under NES</w:t>
            </w:r>
            <w:r>
              <w:t>)</w:t>
            </w:r>
          </w:p>
        </w:tc>
        <w:tc>
          <w:tcPr>
            <w:tcW w:w="3402" w:type="dxa"/>
          </w:tcPr>
          <w:p w14:paraId="4B5F67D1" w14:textId="77777777" w:rsidR="00BD547D" w:rsidRDefault="00BD547D" w:rsidP="00E33150">
            <w:pPr>
              <w:pStyle w:val="MPLParapgrah"/>
              <w:spacing w:after="120"/>
            </w:pPr>
            <w:r>
              <w:t xml:space="preserve">Available </w:t>
            </w:r>
            <w:r w:rsidRPr="007E4AA1">
              <w:t>where the employee is experiencing the circumstances listed in clause 1.24.1.</w:t>
            </w:r>
            <w:r w:rsidRPr="00A27CD6">
              <w:t xml:space="preserve"> </w:t>
            </w:r>
          </w:p>
          <w:p w14:paraId="261E95F1" w14:textId="77777777" w:rsidR="00BD547D" w:rsidRDefault="00BD547D" w:rsidP="00E33150">
            <w:pPr>
              <w:pStyle w:val="MPLParapgrah"/>
              <w:spacing w:after="120"/>
            </w:pPr>
          </w:p>
          <w:p w14:paraId="7E6B104B" w14:textId="77777777" w:rsidR="00BD547D" w:rsidRPr="00165139" w:rsidRDefault="00BD547D" w:rsidP="00E33150">
            <w:pPr>
              <w:pStyle w:val="MPLParapgrah"/>
              <w:spacing w:after="120"/>
            </w:pPr>
            <w:r w:rsidRPr="00A27CD6">
              <w:t xml:space="preserve"> </w:t>
            </w:r>
          </w:p>
        </w:tc>
        <w:tc>
          <w:tcPr>
            <w:tcW w:w="1320" w:type="dxa"/>
          </w:tcPr>
          <w:p w14:paraId="6C5D13F7" w14:textId="77777777" w:rsidR="00BD547D" w:rsidRPr="00165139" w:rsidRDefault="00BD547D" w:rsidP="00E33150">
            <w:pPr>
              <w:pStyle w:val="MPLParapgrah"/>
              <w:spacing w:after="120"/>
            </w:pPr>
            <w:r w:rsidRPr="00165139">
              <w:t>1.24</w:t>
            </w:r>
            <w:r w:rsidRPr="00165139">
              <w:br/>
              <w:t>NES</w:t>
            </w:r>
          </w:p>
        </w:tc>
      </w:tr>
      <w:tr w:rsidR="00BD547D" w:rsidRPr="00165139" w14:paraId="1C905D75" w14:textId="77777777" w:rsidTr="002C5AFE">
        <w:tc>
          <w:tcPr>
            <w:tcW w:w="1809" w:type="dxa"/>
          </w:tcPr>
          <w:p w14:paraId="5F92BF78" w14:textId="77777777" w:rsidR="00BD547D" w:rsidRPr="00165139" w:rsidRDefault="00BD547D" w:rsidP="00E33150">
            <w:pPr>
              <w:pStyle w:val="MPLParapgrah"/>
              <w:spacing w:after="120"/>
            </w:pPr>
            <w:r w:rsidRPr="00165139">
              <w:t>Parental leave, comprising:</w:t>
            </w:r>
          </w:p>
          <w:p w14:paraId="1BC84C24" w14:textId="77777777" w:rsidR="00BD547D" w:rsidRPr="00165139" w:rsidRDefault="00BD547D" w:rsidP="008C7420">
            <w:pPr>
              <w:pStyle w:val="MPLParapgrah"/>
              <w:numPr>
                <w:ilvl w:val="0"/>
                <w:numId w:val="26"/>
              </w:numPr>
              <w:spacing w:after="120"/>
            </w:pPr>
            <w:r w:rsidRPr="00165139">
              <w:t>Paid Maternity leave</w:t>
            </w:r>
          </w:p>
          <w:p w14:paraId="6E1DC9FB" w14:textId="77777777" w:rsidR="00BD547D" w:rsidRPr="00165139" w:rsidRDefault="00BD547D" w:rsidP="008C7420">
            <w:pPr>
              <w:pStyle w:val="MPLParapgrah"/>
              <w:numPr>
                <w:ilvl w:val="0"/>
                <w:numId w:val="26"/>
              </w:numPr>
              <w:spacing w:after="120"/>
            </w:pPr>
            <w:r w:rsidRPr="00165139">
              <w:t>Paid Partner Leave (Primary Carer)</w:t>
            </w:r>
          </w:p>
          <w:p w14:paraId="07DA9846" w14:textId="77777777" w:rsidR="00BD547D" w:rsidRPr="00165139" w:rsidRDefault="00BD547D" w:rsidP="008C7420">
            <w:pPr>
              <w:pStyle w:val="MPLParapgrah"/>
              <w:numPr>
                <w:ilvl w:val="0"/>
                <w:numId w:val="26"/>
              </w:numPr>
              <w:spacing w:after="120"/>
            </w:pPr>
            <w:r w:rsidRPr="00165139">
              <w:t>Paid Adoption, Surrogacy, Permanent Care Leave, or</w:t>
            </w:r>
          </w:p>
          <w:p w14:paraId="68107318" w14:textId="77777777" w:rsidR="00BD547D" w:rsidRPr="00165139" w:rsidRDefault="00BD547D" w:rsidP="008C7420">
            <w:pPr>
              <w:pStyle w:val="MPLParapgrah"/>
              <w:numPr>
                <w:ilvl w:val="0"/>
                <w:numId w:val="26"/>
              </w:numPr>
              <w:spacing w:after="120"/>
            </w:pPr>
            <w:r w:rsidRPr="00165139">
              <w:t>Paid Concurrent Partner Leave</w:t>
            </w:r>
          </w:p>
          <w:p w14:paraId="5A1C4C5D" w14:textId="77777777" w:rsidR="00BD547D" w:rsidRPr="00165139" w:rsidRDefault="00BD547D" w:rsidP="00E33150">
            <w:pPr>
              <w:pStyle w:val="MPLParapgrah"/>
              <w:spacing w:after="120"/>
            </w:pPr>
          </w:p>
        </w:tc>
        <w:tc>
          <w:tcPr>
            <w:tcW w:w="1276" w:type="dxa"/>
          </w:tcPr>
          <w:p w14:paraId="0AAA742A" w14:textId="77777777" w:rsidR="00BD547D" w:rsidRPr="00165139" w:rsidRDefault="00BD547D" w:rsidP="00E33150">
            <w:pPr>
              <w:pStyle w:val="MPLParapgrah"/>
              <w:spacing w:after="120"/>
            </w:pPr>
            <w:r>
              <w:t>Yes</w:t>
            </w:r>
          </w:p>
          <w:p w14:paraId="483723B5" w14:textId="77777777" w:rsidR="00BD547D" w:rsidRPr="00165139" w:rsidRDefault="00BD547D" w:rsidP="00E33150">
            <w:pPr>
              <w:pStyle w:val="MPLParapgrah"/>
              <w:spacing w:after="120"/>
            </w:pPr>
          </w:p>
          <w:p w14:paraId="0661B64B" w14:textId="77777777" w:rsidR="00BD547D" w:rsidRPr="00165139" w:rsidRDefault="00BD547D" w:rsidP="00E33150">
            <w:pPr>
              <w:pStyle w:val="MPLParapgrah"/>
              <w:spacing w:after="120"/>
            </w:pPr>
          </w:p>
        </w:tc>
        <w:tc>
          <w:tcPr>
            <w:tcW w:w="1134" w:type="dxa"/>
          </w:tcPr>
          <w:p w14:paraId="6D9AFF0F" w14:textId="77777777" w:rsidR="00BD547D" w:rsidRPr="00165139" w:rsidRDefault="00BD547D" w:rsidP="00E33150">
            <w:pPr>
              <w:pStyle w:val="MPLParapgrah"/>
              <w:spacing w:after="120"/>
            </w:pPr>
            <w:r>
              <w:t xml:space="preserve">Yes (subject to </w:t>
            </w:r>
            <w:r w:rsidRPr="00165139">
              <w:t>clause 1.25.10</w:t>
            </w:r>
            <w:r>
              <w:t>)</w:t>
            </w:r>
          </w:p>
          <w:p w14:paraId="6E37DBE8" w14:textId="77777777" w:rsidR="00BD547D" w:rsidRPr="00165139" w:rsidRDefault="00BD547D" w:rsidP="00E33150">
            <w:pPr>
              <w:pStyle w:val="MPLParapgrah"/>
              <w:spacing w:after="120"/>
            </w:pPr>
          </w:p>
        </w:tc>
        <w:tc>
          <w:tcPr>
            <w:tcW w:w="1134" w:type="dxa"/>
          </w:tcPr>
          <w:p w14:paraId="6FFC3E0D" w14:textId="77777777" w:rsidR="00BD547D" w:rsidRPr="00165139" w:rsidRDefault="00BD547D" w:rsidP="00E33150">
            <w:pPr>
              <w:pStyle w:val="MPLParapgrah"/>
              <w:spacing w:after="120"/>
            </w:pPr>
            <w:r>
              <w:t>No</w:t>
            </w:r>
            <w:r>
              <w:br/>
              <w:t>(but entitled to unpaid parental leave under the NES)</w:t>
            </w:r>
          </w:p>
        </w:tc>
        <w:tc>
          <w:tcPr>
            <w:tcW w:w="3402" w:type="dxa"/>
          </w:tcPr>
          <w:p w14:paraId="3AE572C8" w14:textId="77777777" w:rsidR="00BD547D" w:rsidRPr="00E81940" w:rsidRDefault="00BD547D" w:rsidP="00E33150">
            <w:pPr>
              <w:pStyle w:val="MPLParapgrah"/>
              <w:spacing w:after="120"/>
            </w:pPr>
            <w:r>
              <w:t xml:space="preserve">Available </w:t>
            </w:r>
            <w:r w:rsidRPr="00E72E69">
              <w:t>where the employee has parental responsibilities.</w:t>
            </w:r>
            <w:r w:rsidRPr="00E81940">
              <w:br/>
            </w:r>
          </w:p>
          <w:p w14:paraId="0F713874" w14:textId="77777777" w:rsidR="00BD547D" w:rsidRPr="00165139" w:rsidRDefault="00BD547D" w:rsidP="00E33150">
            <w:pPr>
              <w:pStyle w:val="MPLParapgrah"/>
              <w:spacing w:after="120"/>
            </w:pPr>
            <w:r w:rsidRPr="00165139">
              <w:t>Note also that:</w:t>
            </w:r>
          </w:p>
          <w:p w14:paraId="058F6CCC" w14:textId="77777777" w:rsidR="00BD547D" w:rsidRPr="00165139" w:rsidRDefault="00BD547D" w:rsidP="00866DBB">
            <w:pPr>
              <w:pStyle w:val="MPLParapgrah"/>
              <w:numPr>
                <w:ilvl w:val="0"/>
                <w:numId w:val="27"/>
              </w:numPr>
              <w:spacing w:after="120"/>
            </w:pPr>
            <w:r w:rsidRPr="00165139">
              <w:t xml:space="preserve">The leave </w:t>
            </w:r>
            <w:r>
              <w:t>under</w:t>
            </w:r>
            <w:r w:rsidRPr="00165139">
              <w:t xml:space="preserve"> clause 1.25 is available in conjunction with and supplementary to unpaid parental leave entitlements available under the NES.</w:t>
            </w:r>
          </w:p>
          <w:p w14:paraId="6A4D797E" w14:textId="77777777" w:rsidR="00BD547D" w:rsidRPr="00165139" w:rsidRDefault="00BD547D" w:rsidP="00866DBB">
            <w:pPr>
              <w:pStyle w:val="MPLParapgrah"/>
              <w:numPr>
                <w:ilvl w:val="0"/>
                <w:numId w:val="27"/>
              </w:numPr>
              <w:spacing w:after="120"/>
            </w:pPr>
            <w:r w:rsidRPr="00165139">
              <w:t>Keeping in touch days under section 79A of the FWA Act are separate and paid in addition to paid Parental Leave under clause 1.25.</w:t>
            </w:r>
          </w:p>
        </w:tc>
        <w:tc>
          <w:tcPr>
            <w:tcW w:w="1320" w:type="dxa"/>
          </w:tcPr>
          <w:p w14:paraId="393AB722" w14:textId="77777777" w:rsidR="00BD547D" w:rsidRPr="00165139" w:rsidRDefault="00BD547D" w:rsidP="00E33150">
            <w:pPr>
              <w:pStyle w:val="MPLParapgrah"/>
              <w:spacing w:after="120"/>
            </w:pPr>
            <w:r w:rsidRPr="00165139">
              <w:t>1.25 (paid)</w:t>
            </w:r>
            <w:r w:rsidRPr="00165139">
              <w:br/>
              <w:t>NES (unpaid)</w:t>
            </w:r>
          </w:p>
        </w:tc>
      </w:tr>
      <w:tr w:rsidR="00BD547D" w:rsidRPr="00165139" w14:paraId="221F6793" w14:textId="77777777" w:rsidTr="002C5AFE">
        <w:tc>
          <w:tcPr>
            <w:tcW w:w="1809" w:type="dxa"/>
          </w:tcPr>
          <w:p w14:paraId="695E1DA1" w14:textId="77777777" w:rsidR="00BD547D" w:rsidRPr="00165139" w:rsidRDefault="00BD547D" w:rsidP="00E33150">
            <w:pPr>
              <w:pStyle w:val="MPLParapgrah"/>
              <w:spacing w:after="120"/>
            </w:pPr>
            <w:r w:rsidRPr="00165139">
              <w:t>Paid lactation breaks and suitable nursing facilities</w:t>
            </w:r>
          </w:p>
        </w:tc>
        <w:tc>
          <w:tcPr>
            <w:tcW w:w="1276" w:type="dxa"/>
          </w:tcPr>
          <w:p w14:paraId="5AA3984E" w14:textId="77777777" w:rsidR="00BD547D" w:rsidRPr="00165139" w:rsidRDefault="00BD547D" w:rsidP="00E33150">
            <w:pPr>
              <w:pStyle w:val="MPLParapgrah"/>
              <w:spacing w:after="120"/>
            </w:pPr>
            <w:r w:rsidRPr="00B32B5A">
              <w:t>Yes</w:t>
            </w:r>
          </w:p>
        </w:tc>
        <w:tc>
          <w:tcPr>
            <w:tcW w:w="1134" w:type="dxa"/>
          </w:tcPr>
          <w:p w14:paraId="5116DAFA" w14:textId="77777777" w:rsidR="00BD547D" w:rsidRPr="00165139" w:rsidRDefault="00BD547D" w:rsidP="00E33150">
            <w:pPr>
              <w:pStyle w:val="MPLParapgrah"/>
              <w:spacing w:after="120"/>
            </w:pPr>
            <w:r w:rsidRPr="00B32B5A">
              <w:t>Yes</w:t>
            </w:r>
          </w:p>
        </w:tc>
        <w:tc>
          <w:tcPr>
            <w:tcW w:w="1134" w:type="dxa"/>
          </w:tcPr>
          <w:p w14:paraId="74DB7F36" w14:textId="77777777" w:rsidR="00BD547D" w:rsidRPr="002F4A26" w:rsidRDefault="00BD547D" w:rsidP="00E33150">
            <w:pPr>
              <w:pStyle w:val="MPLParapgrah"/>
              <w:spacing w:after="120"/>
            </w:pPr>
            <w:r w:rsidRPr="00B32B5A">
              <w:t>Yes</w:t>
            </w:r>
          </w:p>
        </w:tc>
        <w:tc>
          <w:tcPr>
            <w:tcW w:w="3402" w:type="dxa"/>
          </w:tcPr>
          <w:p w14:paraId="23AC2504" w14:textId="77777777" w:rsidR="00BD547D" w:rsidRPr="00165139" w:rsidRDefault="00BD547D" w:rsidP="00E33150">
            <w:pPr>
              <w:pStyle w:val="MPLParapgrah"/>
              <w:spacing w:after="120"/>
            </w:pPr>
            <w:r>
              <w:t xml:space="preserve">Available </w:t>
            </w:r>
            <w:r w:rsidRPr="00270832">
              <w:t xml:space="preserve">where an employee is breastfeeding / </w:t>
            </w:r>
            <w:proofErr w:type="spellStart"/>
            <w:r w:rsidRPr="00270832">
              <w:t>chestfeeding</w:t>
            </w:r>
            <w:proofErr w:type="spellEnd"/>
            <w:r w:rsidRPr="00270832">
              <w:t xml:space="preserve"> on their return to work after parental leave.</w:t>
            </w:r>
          </w:p>
        </w:tc>
        <w:tc>
          <w:tcPr>
            <w:tcW w:w="1320" w:type="dxa"/>
          </w:tcPr>
          <w:p w14:paraId="1E14E199" w14:textId="77777777" w:rsidR="00BD547D" w:rsidRPr="00165139" w:rsidRDefault="00BD547D" w:rsidP="00E33150">
            <w:pPr>
              <w:pStyle w:val="MPLParapgrah"/>
              <w:spacing w:after="120"/>
            </w:pPr>
            <w:r w:rsidRPr="00165139">
              <w:t>1.26</w:t>
            </w:r>
          </w:p>
        </w:tc>
      </w:tr>
      <w:tr w:rsidR="00BD547D" w:rsidRPr="00165139" w14:paraId="213F1B01" w14:textId="77777777" w:rsidTr="002C5AFE">
        <w:tc>
          <w:tcPr>
            <w:tcW w:w="1809" w:type="dxa"/>
          </w:tcPr>
          <w:p w14:paraId="29D546B3" w14:textId="77777777" w:rsidR="00BD547D" w:rsidRPr="00165139" w:rsidRDefault="00BD547D" w:rsidP="00E33150">
            <w:pPr>
              <w:pStyle w:val="MPLParapgrah"/>
              <w:spacing w:after="120"/>
            </w:pPr>
            <w:r w:rsidRPr="00165139">
              <w:lastRenderedPageBreak/>
              <w:t>Domestic/family violence support</w:t>
            </w:r>
          </w:p>
          <w:p w14:paraId="760601C3" w14:textId="77777777" w:rsidR="00BD547D" w:rsidRPr="00165139" w:rsidRDefault="00BD547D" w:rsidP="00E33150">
            <w:pPr>
              <w:pStyle w:val="MPLParapgrah"/>
              <w:spacing w:after="120"/>
            </w:pPr>
          </w:p>
        </w:tc>
        <w:tc>
          <w:tcPr>
            <w:tcW w:w="1276" w:type="dxa"/>
          </w:tcPr>
          <w:p w14:paraId="5F7E93A5" w14:textId="77777777" w:rsidR="00BD547D" w:rsidRPr="00165139" w:rsidRDefault="00BD547D" w:rsidP="00E33150">
            <w:pPr>
              <w:pStyle w:val="MPLParapgrah"/>
              <w:spacing w:after="120"/>
              <w:rPr>
                <w:rFonts w:eastAsiaTheme="minorHAnsi"/>
                <w:lang w:val="en-GB" w:eastAsia="en-GB"/>
              </w:rPr>
            </w:pPr>
            <w:r w:rsidRPr="00B32B5A">
              <w:t>Yes</w:t>
            </w:r>
          </w:p>
        </w:tc>
        <w:tc>
          <w:tcPr>
            <w:tcW w:w="1134" w:type="dxa"/>
          </w:tcPr>
          <w:p w14:paraId="15F2F9E2" w14:textId="77777777" w:rsidR="00BD547D" w:rsidRPr="00165139" w:rsidRDefault="00BD547D" w:rsidP="00E33150">
            <w:pPr>
              <w:pStyle w:val="MPLParapgrah"/>
              <w:spacing w:after="120"/>
              <w:rPr>
                <w:rFonts w:eastAsiaTheme="minorHAnsi"/>
                <w:lang w:val="en-GB" w:eastAsia="en-GB"/>
              </w:rPr>
            </w:pPr>
            <w:r w:rsidRPr="00B32B5A">
              <w:t>Yes</w:t>
            </w:r>
          </w:p>
        </w:tc>
        <w:tc>
          <w:tcPr>
            <w:tcW w:w="1134" w:type="dxa"/>
          </w:tcPr>
          <w:p w14:paraId="25691DE2" w14:textId="77777777" w:rsidR="00BD547D" w:rsidRPr="002F4A26" w:rsidRDefault="00BD547D" w:rsidP="00E33150">
            <w:pPr>
              <w:pStyle w:val="MPLParapgrah"/>
              <w:spacing w:after="120"/>
            </w:pPr>
            <w:r w:rsidRPr="00B32B5A">
              <w:t>Yes</w:t>
            </w:r>
          </w:p>
        </w:tc>
        <w:tc>
          <w:tcPr>
            <w:tcW w:w="3402" w:type="dxa"/>
          </w:tcPr>
          <w:p w14:paraId="031C9F14" w14:textId="0E9F3B29" w:rsidR="00BD547D" w:rsidRDefault="00BD547D" w:rsidP="00E33150">
            <w:pPr>
              <w:pStyle w:val="MPLParapgrah"/>
              <w:spacing w:after="120"/>
              <w:rPr>
                <w:rFonts w:eastAsiaTheme="minorHAnsi"/>
                <w:lang w:val="en-GB" w:eastAsia="en-GB"/>
              </w:rPr>
            </w:pPr>
            <w:r>
              <w:rPr>
                <w:rFonts w:eastAsiaTheme="minorHAnsi"/>
                <w:lang w:val="en-GB" w:eastAsia="en-GB"/>
              </w:rPr>
              <w:t xml:space="preserve">Available </w:t>
            </w:r>
            <w:r w:rsidRPr="009C521B">
              <w:rPr>
                <w:rFonts w:eastAsiaTheme="minorHAnsi"/>
                <w:lang w:val="en-GB" w:eastAsia="en-GB"/>
              </w:rPr>
              <w:t>where the employee is experiencing domestic/family violence, which is adversely affecting their health, wellbeing, attendance or performance.</w:t>
            </w:r>
          </w:p>
          <w:p w14:paraId="7C0F6B8C" w14:textId="77777777" w:rsidR="00BD547D" w:rsidRPr="00165139" w:rsidRDefault="00BD547D" w:rsidP="00E33150">
            <w:pPr>
              <w:pStyle w:val="MPLParapgrah"/>
              <w:spacing w:after="120"/>
            </w:pPr>
            <w:r>
              <w:rPr>
                <w:rFonts w:eastAsiaTheme="minorHAnsi"/>
                <w:lang w:val="en-GB" w:eastAsia="en-GB"/>
              </w:rPr>
              <w:t xml:space="preserve">NOTE: </w:t>
            </w:r>
            <w:r w:rsidRPr="00165139">
              <w:rPr>
                <w:rFonts w:eastAsiaTheme="minorHAnsi"/>
                <w:lang w:val="en-GB" w:eastAsia="en-GB"/>
              </w:rPr>
              <w:t xml:space="preserve">A range of supports are available (see 1.27 for details), including </w:t>
            </w:r>
            <w:r w:rsidRPr="00165139">
              <w:t>paid leave of absence per occasion (of at least ten (10) days per year in total).</w:t>
            </w:r>
          </w:p>
        </w:tc>
        <w:tc>
          <w:tcPr>
            <w:tcW w:w="1320" w:type="dxa"/>
          </w:tcPr>
          <w:p w14:paraId="769DDD48" w14:textId="77777777" w:rsidR="00BD547D" w:rsidRPr="00165139" w:rsidRDefault="00BD547D" w:rsidP="00E33150">
            <w:pPr>
              <w:pStyle w:val="MPLParapgrah"/>
              <w:spacing w:after="120"/>
            </w:pPr>
            <w:r w:rsidRPr="00165139">
              <w:t>1.27</w:t>
            </w:r>
            <w:r w:rsidRPr="00165139">
              <w:br/>
              <w:t>NES</w:t>
            </w:r>
          </w:p>
        </w:tc>
      </w:tr>
      <w:tr w:rsidR="00BD547D" w:rsidRPr="00165139" w14:paraId="63D3D2BF" w14:textId="77777777" w:rsidTr="002C5AFE">
        <w:tc>
          <w:tcPr>
            <w:tcW w:w="1809" w:type="dxa"/>
          </w:tcPr>
          <w:p w14:paraId="0CFBB4FB" w14:textId="77777777" w:rsidR="00BD547D" w:rsidRPr="00165139" w:rsidRDefault="00BD547D" w:rsidP="00E33150">
            <w:pPr>
              <w:pStyle w:val="MPLParapgrah"/>
              <w:spacing w:after="120"/>
            </w:pPr>
            <w:r w:rsidRPr="00165139">
              <w:t>Indigenous Cultural Responsibilities Leave</w:t>
            </w:r>
          </w:p>
          <w:p w14:paraId="2F5ABCD4" w14:textId="77777777" w:rsidR="00BD547D" w:rsidRPr="00165139" w:rsidRDefault="00BD547D" w:rsidP="00E33150">
            <w:pPr>
              <w:pStyle w:val="MPLParapgrah"/>
              <w:spacing w:after="120"/>
            </w:pPr>
          </w:p>
        </w:tc>
        <w:tc>
          <w:tcPr>
            <w:tcW w:w="1276" w:type="dxa"/>
          </w:tcPr>
          <w:p w14:paraId="470ADAF8" w14:textId="77777777" w:rsidR="00BD547D" w:rsidRPr="00165139" w:rsidRDefault="00BD547D" w:rsidP="00E33150">
            <w:pPr>
              <w:pStyle w:val="MPLParapgrah"/>
              <w:spacing w:after="120"/>
            </w:pPr>
            <w:r w:rsidRPr="00B32B5A">
              <w:t>Yes</w:t>
            </w:r>
          </w:p>
        </w:tc>
        <w:tc>
          <w:tcPr>
            <w:tcW w:w="1134" w:type="dxa"/>
          </w:tcPr>
          <w:p w14:paraId="067F40A7" w14:textId="77777777" w:rsidR="00BD547D" w:rsidRPr="00165139" w:rsidRDefault="00BD547D" w:rsidP="00E33150">
            <w:pPr>
              <w:pStyle w:val="MPLParapgrah"/>
              <w:spacing w:after="120"/>
            </w:pPr>
            <w:r w:rsidRPr="00B32B5A">
              <w:t>Yes</w:t>
            </w:r>
          </w:p>
        </w:tc>
        <w:tc>
          <w:tcPr>
            <w:tcW w:w="1134" w:type="dxa"/>
          </w:tcPr>
          <w:p w14:paraId="5ADFF100" w14:textId="77777777" w:rsidR="00BD547D" w:rsidRPr="002F4A26" w:rsidRDefault="00BD547D" w:rsidP="00E33150">
            <w:pPr>
              <w:pStyle w:val="MPLParapgrah"/>
              <w:spacing w:after="120"/>
            </w:pPr>
            <w:r w:rsidRPr="00B32B5A">
              <w:t>Yes</w:t>
            </w:r>
          </w:p>
        </w:tc>
        <w:tc>
          <w:tcPr>
            <w:tcW w:w="3402" w:type="dxa"/>
          </w:tcPr>
          <w:p w14:paraId="5869CE43" w14:textId="4ED8B4D6" w:rsidR="00BD547D" w:rsidRDefault="00BD547D" w:rsidP="00E33150">
            <w:pPr>
              <w:pStyle w:val="MPLParapgrah"/>
              <w:spacing w:after="120"/>
              <w:rPr>
                <w:rFonts w:eastAsiaTheme="minorHAnsi"/>
                <w:lang w:val="en-GB" w:eastAsia="en-GB"/>
              </w:rPr>
            </w:pPr>
            <w:r w:rsidRPr="00600CC7">
              <w:t>In addition to the other entitlements listed in this Table, all Australian Aboriginal and Torres Strait Islander</w:t>
            </w:r>
            <w:r w:rsidRPr="00600CC7">
              <w:rPr>
                <w:rFonts w:eastAsiaTheme="minorHAnsi"/>
                <w:lang w:val="en-GB" w:eastAsia="en-GB"/>
              </w:rPr>
              <w:t xml:space="preserve"> </w:t>
            </w:r>
            <w:r w:rsidRPr="00600CC7">
              <w:t xml:space="preserve">employees are </w:t>
            </w:r>
            <w:r w:rsidRPr="00600CC7">
              <w:rPr>
                <w:rFonts w:eastAsiaTheme="minorHAnsi"/>
                <w:lang w:val="en-GB" w:eastAsia="en-GB"/>
              </w:rPr>
              <w:t xml:space="preserve">entitled to </w:t>
            </w:r>
            <w:r w:rsidRPr="00600CC7">
              <w:t>ten (10)</w:t>
            </w:r>
            <w:r w:rsidRPr="00600CC7">
              <w:rPr>
                <w:rFonts w:eastAsiaTheme="minorHAnsi"/>
                <w:lang w:val="en-GB" w:eastAsia="en-GB"/>
              </w:rPr>
              <w:t xml:space="preserve"> days of paid leave per calendar year where they are fulfilling Indigenous cultural responsibilities and are required to be absent from work for the purpose of attending NAIDOC, community, cultural or ceremonial activities </w:t>
            </w:r>
            <w:r w:rsidRPr="00600CC7">
              <w:t>(pro-rated for part years of service).</w:t>
            </w:r>
          </w:p>
          <w:p w14:paraId="6E1ACD95" w14:textId="77777777" w:rsidR="00BD547D" w:rsidRPr="00165139" w:rsidRDefault="00BD547D" w:rsidP="00E33150">
            <w:pPr>
              <w:pStyle w:val="MPLParapgrah"/>
              <w:spacing w:after="120"/>
            </w:pPr>
            <w:r>
              <w:rPr>
                <w:rFonts w:eastAsiaTheme="minorHAnsi"/>
                <w:lang w:val="en-GB" w:eastAsia="en-GB"/>
              </w:rPr>
              <w:t>NOTE:</w:t>
            </w:r>
            <w:r w:rsidRPr="00165139">
              <w:rPr>
                <w:rFonts w:eastAsiaTheme="minorHAnsi"/>
                <w:lang w:val="en-GB" w:eastAsia="en-GB"/>
              </w:rPr>
              <w:t xml:space="preserve"> </w:t>
            </w:r>
            <w:r>
              <w:rPr>
                <w:rFonts w:eastAsiaTheme="minorHAnsi"/>
                <w:lang w:val="en-GB" w:eastAsia="en-GB"/>
              </w:rPr>
              <w:t>I</w:t>
            </w:r>
            <w:r w:rsidRPr="00165139">
              <w:rPr>
                <w:rFonts w:eastAsiaTheme="minorHAnsi"/>
                <w:lang w:val="en-GB" w:eastAsia="en-GB"/>
              </w:rPr>
              <w:t>n addition to the entitlement under clause 1.28.4, additional leave for this purpose may also be applied for, which the University has the discretion to consider and, where warranted, approve.</w:t>
            </w:r>
          </w:p>
        </w:tc>
        <w:tc>
          <w:tcPr>
            <w:tcW w:w="1320" w:type="dxa"/>
          </w:tcPr>
          <w:p w14:paraId="154DC6E4" w14:textId="77777777" w:rsidR="00BD547D" w:rsidRPr="00165139" w:rsidRDefault="00BD547D" w:rsidP="00E33150">
            <w:pPr>
              <w:pStyle w:val="MPLParapgrah"/>
              <w:spacing w:after="120"/>
            </w:pPr>
            <w:r w:rsidRPr="00165139">
              <w:t>1.28.4</w:t>
            </w:r>
          </w:p>
        </w:tc>
      </w:tr>
      <w:tr w:rsidR="00BD547D" w:rsidRPr="00165139" w14:paraId="12F34418" w14:textId="77777777" w:rsidTr="002C5AFE">
        <w:tc>
          <w:tcPr>
            <w:tcW w:w="1809" w:type="dxa"/>
          </w:tcPr>
          <w:p w14:paraId="5048D2E3" w14:textId="77777777" w:rsidR="00BD547D" w:rsidRPr="00165139" w:rsidRDefault="00BD547D" w:rsidP="00E33150">
            <w:pPr>
              <w:pStyle w:val="MPLParapgrah"/>
              <w:spacing w:after="120"/>
            </w:pPr>
            <w:r w:rsidRPr="00165139">
              <w:t>Community service leave</w:t>
            </w:r>
          </w:p>
          <w:p w14:paraId="14CF1EB7" w14:textId="77777777" w:rsidR="00BD547D" w:rsidRPr="00165139" w:rsidRDefault="00BD547D" w:rsidP="00E33150">
            <w:pPr>
              <w:pStyle w:val="MPLParapgrah"/>
              <w:spacing w:after="120"/>
            </w:pPr>
          </w:p>
        </w:tc>
        <w:tc>
          <w:tcPr>
            <w:tcW w:w="1276" w:type="dxa"/>
          </w:tcPr>
          <w:p w14:paraId="68DA1A8F" w14:textId="77777777" w:rsidR="00BD547D" w:rsidRPr="00165139" w:rsidRDefault="00BD547D" w:rsidP="00E33150">
            <w:pPr>
              <w:pStyle w:val="MPLParapgrah"/>
              <w:spacing w:after="120"/>
            </w:pPr>
            <w:r w:rsidRPr="000A7BC4">
              <w:t>Yes</w:t>
            </w:r>
          </w:p>
        </w:tc>
        <w:tc>
          <w:tcPr>
            <w:tcW w:w="1134" w:type="dxa"/>
          </w:tcPr>
          <w:p w14:paraId="1239D61D" w14:textId="77777777" w:rsidR="00BD547D" w:rsidRPr="00165139" w:rsidRDefault="00BD547D" w:rsidP="00E33150">
            <w:pPr>
              <w:pStyle w:val="MPLParapgrah"/>
              <w:spacing w:after="120"/>
            </w:pPr>
            <w:r w:rsidRPr="000A7BC4">
              <w:t>Yes</w:t>
            </w:r>
          </w:p>
        </w:tc>
        <w:tc>
          <w:tcPr>
            <w:tcW w:w="1134" w:type="dxa"/>
          </w:tcPr>
          <w:p w14:paraId="4FD7DB2B" w14:textId="77777777" w:rsidR="00BD547D" w:rsidRPr="00165139" w:rsidRDefault="00BD547D" w:rsidP="00E33150">
            <w:pPr>
              <w:pStyle w:val="MPLParapgrah"/>
              <w:spacing w:after="120"/>
            </w:pPr>
            <w:r>
              <w:t>Yes</w:t>
            </w:r>
            <w:r w:rsidRPr="008D2D39">
              <w:t xml:space="preserve"> </w:t>
            </w:r>
            <w:r>
              <w:br/>
              <w:t>(subject to c</w:t>
            </w:r>
            <w:r w:rsidRPr="008D2D39">
              <w:t>lause 1.29.7</w:t>
            </w:r>
            <w:r>
              <w:t xml:space="preserve"> in relation to</w:t>
            </w:r>
            <w:r w:rsidRPr="008D2D39">
              <w:t xml:space="preserve"> jury service</w:t>
            </w:r>
            <w:r>
              <w:t>)</w:t>
            </w:r>
          </w:p>
        </w:tc>
        <w:tc>
          <w:tcPr>
            <w:tcW w:w="3402" w:type="dxa"/>
          </w:tcPr>
          <w:p w14:paraId="26FFE926" w14:textId="77777777" w:rsidR="00BD547D" w:rsidRPr="00165139" w:rsidRDefault="00BD547D" w:rsidP="00E33150">
            <w:pPr>
              <w:pStyle w:val="MPLParapgrah"/>
              <w:spacing w:after="120"/>
            </w:pPr>
            <w:r>
              <w:rPr>
                <w:rFonts w:eastAsiaTheme="minorHAnsi"/>
                <w:lang w:val="en-GB" w:eastAsia="en-GB"/>
              </w:rPr>
              <w:t xml:space="preserve">Available to </w:t>
            </w:r>
            <w:r w:rsidRPr="00B5320B">
              <w:rPr>
                <w:rFonts w:eastAsiaTheme="minorHAnsi"/>
                <w:lang w:val="en-GB" w:eastAsia="en-GB"/>
              </w:rPr>
              <w:t>employees who engage in an eligible community service activity, defined in the Fair Work Act 2009 (</w:t>
            </w:r>
            <w:proofErr w:type="spellStart"/>
            <w:r w:rsidRPr="00B5320B">
              <w:rPr>
                <w:rFonts w:eastAsiaTheme="minorHAnsi"/>
                <w:lang w:val="en-GB" w:eastAsia="en-GB"/>
              </w:rPr>
              <w:t>Cth</w:t>
            </w:r>
            <w:proofErr w:type="spellEnd"/>
            <w:r w:rsidRPr="00B5320B">
              <w:rPr>
                <w:rFonts w:eastAsiaTheme="minorHAnsi"/>
                <w:lang w:val="en-GB" w:eastAsia="en-GB"/>
              </w:rPr>
              <w:t xml:space="preserve">) as a </w:t>
            </w:r>
            <w:r w:rsidRPr="00B5320B">
              <w:t>Voluntary Emergency Management Activity or jury service.</w:t>
            </w:r>
            <w:r>
              <w:br/>
            </w:r>
          </w:p>
        </w:tc>
        <w:tc>
          <w:tcPr>
            <w:tcW w:w="1320" w:type="dxa"/>
          </w:tcPr>
          <w:p w14:paraId="42A01931" w14:textId="77777777" w:rsidR="00BD547D" w:rsidRPr="00165139" w:rsidRDefault="00BD547D" w:rsidP="00E33150">
            <w:pPr>
              <w:pStyle w:val="MPLParapgrah"/>
              <w:spacing w:after="120"/>
            </w:pPr>
            <w:r w:rsidRPr="00165139">
              <w:t>1.29</w:t>
            </w:r>
            <w:r w:rsidRPr="00165139">
              <w:br/>
              <w:t>NES</w:t>
            </w:r>
          </w:p>
        </w:tc>
      </w:tr>
      <w:tr w:rsidR="00BD547D" w:rsidRPr="00165139" w14:paraId="189C9D7A" w14:textId="77777777" w:rsidTr="002C5AFE">
        <w:tc>
          <w:tcPr>
            <w:tcW w:w="1809" w:type="dxa"/>
          </w:tcPr>
          <w:p w14:paraId="198817A6" w14:textId="77777777" w:rsidR="00BD547D" w:rsidRPr="00165139" w:rsidRDefault="00BD547D" w:rsidP="00E33150">
            <w:pPr>
              <w:pStyle w:val="MPLParapgrah"/>
              <w:spacing w:after="120"/>
            </w:pPr>
            <w:r w:rsidRPr="00165139">
              <w:t>Paid leave for blood donation</w:t>
            </w:r>
          </w:p>
        </w:tc>
        <w:tc>
          <w:tcPr>
            <w:tcW w:w="1276" w:type="dxa"/>
          </w:tcPr>
          <w:p w14:paraId="1500075C" w14:textId="77777777" w:rsidR="00BD547D" w:rsidRPr="00165139" w:rsidRDefault="00BD547D" w:rsidP="00E33150">
            <w:pPr>
              <w:pStyle w:val="MPLParapgrah"/>
              <w:spacing w:after="120"/>
            </w:pPr>
            <w:r w:rsidRPr="000A7BC4">
              <w:t>Yes</w:t>
            </w:r>
          </w:p>
        </w:tc>
        <w:tc>
          <w:tcPr>
            <w:tcW w:w="1134" w:type="dxa"/>
          </w:tcPr>
          <w:p w14:paraId="3D2715E9" w14:textId="77777777" w:rsidR="00BD547D" w:rsidRPr="00165139" w:rsidRDefault="00BD547D" w:rsidP="00E33150">
            <w:pPr>
              <w:pStyle w:val="MPLParapgrah"/>
              <w:spacing w:after="120"/>
            </w:pPr>
            <w:r w:rsidRPr="000A7BC4">
              <w:t>Yes</w:t>
            </w:r>
          </w:p>
        </w:tc>
        <w:tc>
          <w:tcPr>
            <w:tcW w:w="1134" w:type="dxa"/>
          </w:tcPr>
          <w:p w14:paraId="1F805C0B" w14:textId="77777777" w:rsidR="00BD547D" w:rsidRPr="00165139" w:rsidRDefault="00BD547D" w:rsidP="00E33150">
            <w:pPr>
              <w:pStyle w:val="MPLParapgrah"/>
              <w:spacing w:after="120"/>
            </w:pPr>
            <w:r>
              <w:t>No</w:t>
            </w:r>
            <w:r>
              <w:br/>
            </w:r>
          </w:p>
        </w:tc>
        <w:tc>
          <w:tcPr>
            <w:tcW w:w="3402" w:type="dxa"/>
          </w:tcPr>
          <w:p w14:paraId="1A57E804" w14:textId="77777777" w:rsidR="00BD547D" w:rsidRPr="00165139" w:rsidRDefault="00BD547D" w:rsidP="00E33150">
            <w:pPr>
              <w:pStyle w:val="MPLParapgrah"/>
              <w:spacing w:after="120"/>
            </w:pPr>
          </w:p>
        </w:tc>
        <w:tc>
          <w:tcPr>
            <w:tcW w:w="1320" w:type="dxa"/>
          </w:tcPr>
          <w:p w14:paraId="396CA903" w14:textId="77777777" w:rsidR="00BD547D" w:rsidRPr="00165139" w:rsidRDefault="00BD547D" w:rsidP="00E33150">
            <w:pPr>
              <w:pStyle w:val="MPLParapgrah"/>
              <w:spacing w:after="120"/>
            </w:pPr>
            <w:r w:rsidRPr="00165139">
              <w:t>1.30</w:t>
            </w:r>
            <w:r w:rsidRPr="00165139">
              <w:br/>
            </w:r>
          </w:p>
        </w:tc>
      </w:tr>
      <w:tr w:rsidR="00BD547D" w:rsidRPr="00165139" w14:paraId="42FBCFEC" w14:textId="77777777" w:rsidTr="002C5AFE">
        <w:tc>
          <w:tcPr>
            <w:tcW w:w="1809" w:type="dxa"/>
          </w:tcPr>
          <w:p w14:paraId="4B520C70" w14:textId="351588E9" w:rsidR="00BD547D" w:rsidRPr="00165139" w:rsidRDefault="00E15B79" w:rsidP="00E33150">
            <w:pPr>
              <w:pStyle w:val="MPLParapgrah"/>
              <w:spacing w:after="120"/>
            </w:pPr>
            <w:r w:rsidRPr="00E15B79">
              <w:t xml:space="preserve">Paid leave of absence to attend </w:t>
            </w:r>
            <w:r w:rsidRPr="00E15B79">
              <w:lastRenderedPageBreak/>
              <w:t>course examinations</w:t>
            </w:r>
          </w:p>
        </w:tc>
        <w:tc>
          <w:tcPr>
            <w:tcW w:w="1276" w:type="dxa"/>
          </w:tcPr>
          <w:p w14:paraId="25B40A98" w14:textId="77777777" w:rsidR="00BD547D" w:rsidRPr="00165139" w:rsidRDefault="00BD547D" w:rsidP="00E33150">
            <w:pPr>
              <w:pStyle w:val="MPLParapgrah"/>
              <w:spacing w:after="120"/>
            </w:pPr>
            <w:r w:rsidRPr="000A7BC4">
              <w:lastRenderedPageBreak/>
              <w:t>Yes</w:t>
            </w:r>
          </w:p>
        </w:tc>
        <w:tc>
          <w:tcPr>
            <w:tcW w:w="1134" w:type="dxa"/>
          </w:tcPr>
          <w:p w14:paraId="07071DE6" w14:textId="77777777" w:rsidR="00BD547D" w:rsidRPr="00165139" w:rsidRDefault="00BD547D" w:rsidP="00E33150">
            <w:pPr>
              <w:pStyle w:val="MPLParapgrah"/>
              <w:spacing w:after="120"/>
            </w:pPr>
            <w:r w:rsidRPr="000A7BC4">
              <w:t>Yes</w:t>
            </w:r>
          </w:p>
        </w:tc>
        <w:tc>
          <w:tcPr>
            <w:tcW w:w="1134" w:type="dxa"/>
          </w:tcPr>
          <w:p w14:paraId="3712A844" w14:textId="77777777" w:rsidR="00BD547D" w:rsidRPr="00165139" w:rsidRDefault="00BD547D" w:rsidP="00E33150">
            <w:pPr>
              <w:pStyle w:val="MPLParapgrah"/>
              <w:spacing w:after="120"/>
            </w:pPr>
            <w:r>
              <w:t>No</w:t>
            </w:r>
          </w:p>
        </w:tc>
        <w:tc>
          <w:tcPr>
            <w:tcW w:w="3402" w:type="dxa"/>
          </w:tcPr>
          <w:p w14:paraId="61CE1CE1" w14:textId="77777777" w:rsidR="00BD547D" w:rsidRPr="00165139" w:rsidRDefault="00BD547D" w:rsidP="00E33150">
            <w:pPr>
              <w:pStyle w:val="MPLParapgrah"/>
              <w:spacing w:after="120"/>
            </w:pPr>
            <w:r>
              <w:t xml:space="preserve">Available to employees </w:t>
            </w:r>
            <w:r w:rsidRPr="00E77E93">
              <w:t>undertaking studies approved by the University.</w:t>
            </w:r>
          </w:p>
        </w:tc>
        <w:tc>
          <w:tcPr>
            <w:tcW w:w="1320" w:type="dxa"/>
          </w:tcPr>
          <w:p w14:paraId="3B36DE52" w14:textId="77777777" w:rsidR="00BD547D" w:rsidRPr="00165139" w:rsidRDefault="00BD547D" w:rsidP="00E33150">
            <w:pPr>
              <w:pStyle w:val="MPLParapgrah"/>
              <w:spacing w:after="120"/>
            </w:pPr>
            <w:r w:rsidRPr="00165139">
              <w:t>1.31</w:t>
            </w:r>
          </w:p>
        </w:tc>
      </w:tr>
      <w:tr w:rsidR="00BD547D" w:rsidRPr="00165139" w14:paraId="16FBB192" w14:textId="77777777" w:rsidTr="002C5AFE">
        <w:tc>
          <w:tcPr>
            <w:tcW w:w="1809" w:type="dxa"/>
          </w:tcPr>
          <w:p w14:paraId="51646C4C" w14:textId="77777777" w:rsidR="00BD547D" w:rsidRPr="00165139" w:rsidRDefault="00BD547D" w:rsidP="00E33150">
            <w:pPr>
              <w:pStyle w:val="MPLParapgrah"/>
              <w:spacing w:after="120"/>
            </w:pPr>
            <w:r w:rsidRPr="00165139">
              <w:t>Leave without pay</w:t>
            </w:r>
          </w:p>
          <w:p w14:paraId="149B781A" w14:textId="77777777" w:rsidR="00BD547D" w:rsidRPr="00165139" w:rsidRDefault="00BD547D" w:rsidP="00E33150">
            <w:pPr>
              <w:pStyle w:val="MPLParapgrah"/>
              <w:spacing w:after="120"/>
            </w:pPr>
          </w:p>
        </w:tc>
        <w:tc>
          <w:tcPr>
            <w:tcW w:w="1276" w:type="dxa"/>
          </w:tcPr>
          <w:p w14:paraId="2B5B44C7" w14:textId="77777777" w:rsidR="00BD547D" w:rsidRPr="00165139" w:rsidRDefault="00BD547D" w:rsidP="00E33150">
            <w:pPr>
              <w:pStyle w:val="MPLParapgrah"/>
              <w:spacing w:after="120"/>
            </w:pPr>
            <w:r>
              <w:t>Yes</w:t>
            </w:r>
          </w:p>
        </w:tc>
        <w:tc>
          <w:tcPr>
            <w:tcW w:w="1134" w:type="dxa"/>
          </w:tcPr>
          <w:p w14:paraId="676A5D22" w14:textId="77777777" w:rsidR="00BD547D" w:rsidRPr="00165139" w:rsidRDefault="00BD547D" w:rsidP="00E33150">
            <w:pPr>
              <w:pStyle w:val="MPLParapgrah"/>
              <w:spacing w:after="120"/>
            </w:pPr>
            <w:r>
              <w:t>No</w:t>
            </w:r>
          </w:p>
        </w:tc>
        <w:tc>
          <w:tcPr>
            <w:tcW w:w="1134" w:type="dxa"/>
          </w:tcPr>
          <w:p w14:paraId="7683CF32" w14:textId="77777777" w:rsidR="00BD547D" w:rsidRPr="00165139" w:rsidRDefault="00BD547D" w:rsidP="00E33150">
            <w:pPr>
              <w:pStyle w:val="MPLParapgrah"/>
              <w:spacing w:after="120"/>
            </w:pPr>
            <w:r>
              <w:t>No</w:t>
            </w:r>
          </w:p>
        </w:tc>
        <w:tc>
          <w:tcPr>
            <w:tcW w:w="3402" w:type="dxa"/>
          </w:tcPr>
          <w:p w14:paraId="39B095F1" w14:textId="77777777" w:rsidR="00BD547D" w:rsidRPr="00165139" w:rsidRDefault="00BD547D" w:rsidP="00E33150">
            <w:pPr>
              <w:pStyle w:val="MPLParapgrah"/>
              <w:spacing w:after="120"/>
            </w:pPr>
            <w:r w:rsidRPr="00E71A02">
              <w:t>All continuing employees may apply for leave without pay that is separate to unpaid Personal Leave, unpaid Carer’s Leave, unpaid absence due to injury or illness or unpaid Parental Leave.</w:t>
            </w:r>
          </w:p>
        </w:tc>
        <w:tc>
          <w:tcPr>
            <w:tcW w:w="1320" w:type="dxa"/>
          </w:tcPr>
          <w:p w14:paraId="4675243A" w14:textId="77777777" w:rsidR="00BD547D" w:rsidRPr="00165139" w:rsidRDefault="00BD547D" w:rsidP="00E33150">
            <w:pPr>
              <w:pStyle w:val="MPLParapgrah"/>
              <w:spacing w:after="120"/>
            </w:pPr>
            <w:r w:rsidRPr="00165139">
              <w:t>1.32</w:t>
            </w:r>
          </w:p>
        </w:tc>
      </w:tr>
    </w:tbl>
    <w:p w14:paraId="50D7E21D" w14:textId="77777777" w:rsidR="00BD547D" w:rsidRPr="009F16F9" w:rsidRDefault="00BD547D" w:rsidP="00BD547D">
      <w:pPr>
        <w:pStyle w:val="MPLHeading1"/>
      </w:pPr>
      <w:r w:rsidRPr="00E81940">
        <w:t xml:space="preserve">Requesting and </w:t>
      </w:r>
      <w:proofErr w:type="spellStart"/>
      <w:r w:rsidRPr="00E81940">
        <w:t>authorising</w:t>
      </w:r>
      <w:proofErr w:type="spellEnd"/>
      <w:r w:rsidRPr="00E81940">
        <w:t xml:space="preserve"> leave</w:t>
      </w:r>
    </w:p>
    <w:p w14:paraId="050A5598" w14:textId="77777777" w:rsidR="00BD547D" w:rsidRDefault="00BD547D" w:rsidP="001B3D6B">
      <w:pPr>
        <w:pStyle w:val="MPLParagraphlevel1"/>
        <w:numPr>
          <w:ilvl w:val="2"/>
          <w:numId w:val="44"/>
        </w:numPr>
        <w:spacing w:after="120"/>
      </w:pPr>
      <w:r>
        <w:t>Employees requesting to access any type of leave under this policy must:</w:t>
      </w:r>
    </w:p>
    <w:p w14:paraId="65FC33DC" w14:textId="77777777" w:rsidR="00CB4208" w:rsidRDefault="00BD547D" w:rsidP="00BD547D">
      <w:pPr>
        <w:pStyle w:val="MPLParagraphlevel1"/>
        <w:numPr>
          <w:ilvl w:val="3"/>
          <w:numId w:val="7"/>
        </w:numPr>
        <w:spacing w:after="120"/>
      </w:pPr>
      <w:r w:rsidRPr="00C8134B">
        <w:t>provide the University with notice of their absence or intended absence, including the period or expected period of absence, as soon as is reasonably practicable. This includes completing and lodging any HR forms, or other online requests (THEMIS/Workday or other), as required; and</w:t>
      </w:r>
    </w:p>
    <w:p w14:paraId="3CC244CD" w14:textId="259F2932" w:rsidR="00BD547D" w:rsidRDefault="00BD547D" w:rsidP="00BD547D">
      <w:pPr>
        <w:pStyle w:val="MPLParagraphlevel1"/>
        <w:numPr>
          <w:ilvl w:val="3"/>
          <w:numId w:val="7"/>
        </w:numPr>
        <w:spacing w:after="120"/>
      </w:pPr>
      <w:r w:rsidRPr="00C8134B">
        <w:t>provide evidence substantiating the reason for leave, where reasonably requested.</w:t>
      </w:r>
      <w:r>
        <w:t xml:space="preserve"> </w:t>
      </w:r>
    </w:p>
    <w:p w14:paraId="03D6426B" w14:textId="77777777" w:rsidR="00BD547D" w:rsidRPr="00C8134B" w:rsidRDefault="00BD547D" w:rsidP="00BD547D">
      <w:pPr>
        <w:pStyle w:val="MPLParagraphlevel1"/>
        <w:spacing w:after="120"/>
      </w:pPr>
      <w:r w:rsidRPr="00C8134B">
        <w:t xml:space="preserve">As required by the Vice-Chancellor’s Instrument of Delegation (Schedule D), all absences must be </w:t>
      </w:r>
      <w:proofErr w:type="spellStart"/>
      <w:r w:rsidRPr="00C8134B">
        <w:t>authorised</w:t>
      </w:r>
      <w:proofErr w:type="spellEnd"/>
      <w:r w:rsidRPr="00C8134B">
        <w:t xml:space="preserve"> by the employee’s supervisor, or other </w:t>
      </w:r>
      <w:proofErr w:type="spellStart"/>
      <w:r w:rsidRPr="00C8134B">
        <w:t>authorised</w:t>
      </w:r>
      <w:proofErr w:type="spellEnd"/>
      <w:r w:rsidRPr="00C8134B">
        <w:t xml:space="preserve"> delegate in the reporting line above the supervisor, on behalf of the University.</w:t>
      </w:r>
    </w:p>
    <w:p w14:paraId="4DBEC375" w14:textId="77777777" w:rsidR="00BD547D" w:rsidRPr="00C8134B" w:rsidRDefault="00BD547D" w:rsidP="00BD547D">
      <w:pPr>
        <w:pStyle w:val="MPLParagraphlevel1"/>
        <w:spacing w:after="120"/>
      </w:pPr>
      <w:r w:rsidRPr="00C8134B">
        <w:t>For the avoidance of doubt, in relation to section 5.</w:t>
      </w:r>
      <w:r>
        <w:t>2.2</w:t>
      </w:r>
      <w:r w:rsidRPr="00C8134B">
        <w:t>:</w:t>
      </w:r>
    </w:p>
    <w:p w14:paraId="2A5D4F60" w14:textId="77777777" w:rsidR="00BD547D" w:rsidRPr="00C8134B" w:rsidRDefault="00BD547D" w:rsidP="00CB4208">
      <w:pPr>
        <w:pStyle w:val="MPLParagraphlevel1"/>
        <w:numPr>
          <w:ilvl w:val="3"/>
          <w:numId w:val="7"/>
        </w:numPr>
        <w:spacing w:after="120"/>
      </w:pPr>
      <w:r w:rsidRPr="00C8134B">
        <w:t>in approving leave, the supervisor is only approving the employee’s absence from the workplace;</w:t>
      </w:r>
    </w:p>
    <w:p w14:paraId="58BAD09E" w14:textId="77777777" w:rsidR="00BD547D" w:rsidRPr="00C8134B" w:rsidRDefault="00BD547D" w:rsidP="00CB4208">
      <w:pPr>
        <w:pStyle w:val="MPLParagraphlevel1"/>
        <w:numPr>
          <w:ilvl w:val="3"/>
          <w:numId w:val="7"/>
        </w:numPr>
        <w:spacing w:after="120"/>
      </w:pPr>
      <w:r w:rsidRPr="00C8134B">
        <w:t>in the case of paid leave, the supervisor relies on the employee making a true and accurate application that they have sufficient entitlement to cover the intended absence.</w:t>
      </w:r>
    </w:p>
    <w:p w14:paraId="11E226D3" w14:textId="77777777" w:rsidR="00BD547D" w:rsidRDefault="00BD547D" w:rsidP="00BD547D">
      <w:pPr>
        <w:pStyle w:val="MPLHeading1"/>
      </w:pPr>
      <w:r w:rsidRPr="00E81940">
        <w:t>When leave must be taken</w:t>
      </w:r>
    </w:p>
    <w:p w14:paraId="2BF835EF" w14:textId="77777777" w:rsidR="00BD547D" w:rsidRPr="00371F96" w:rsidRDefault="00BD547D" w:rsidP="00BD547D">
      <w:pPr>
        <w:pStyle w:val="ListParagraph"/>
        <w:numPr>
          <w:ilvl w:val="0"/>
          <w:numId w:val="8"/>
        </w:numPr>
        <w:spacing w:afterLines="50" w:after="120" w:line="276" w:lineRule="auto"/>
        <w:contextualSpacing w:val="0"/>
        <w:rPr>
          <w:rFonts w:eastAsia="Times New Roman" w:cs="Arial"/>
          <w:vanish/>
          <w:kern w:val="0"/>
          <w:szCs w:val="22"/>
          <w:lang w:val="en-US" w:eastAsia="en-AU"/>
          <w14:ligatures w14:val="none"/>
        </w:rPr>
      </w:pPr>
    </w:p>
    <w:p w14:paraId="6C39DE06" w14:textId="77777777" w:rsidR="00BD547D" w:rsidRPr="00371F96" w:rsidRDefault="00BD547D" w:rsidP="00BD547D">
      <w:pPr>
        <w:pStyle w:val="ListParagraph"/>
        <w:numPr>
          <w:ilvl w:val="0"/>
          <w:numId w:val="8"/>
        </w:numPr>
        <w:spacing w:afterLines="50" w:after="120" w:line="276" w:lineRule="auto"/>
        <w:contextualSpacing w:val="0"/>
        <w:rPr>
          <w:rFonts w:eastAsia="Times New Roman" w:cs="Arial"/>
          <w:vanish/>
          <w:kern w:val="0"/>
          <w:szCs w:val="22"/>
          <w:lang w:val="en-US" w:eastAsia="en-AU"/>
          <w14:ligatures w14:val="none"/>
        </w:rPr>
      </w:pPr>
    </w:p>
    <w:p w14:paraId="030781F9" w14:textId="77777777" w:rsidR="00BD547D" w:rsidRPr="00371F96" w:rsidRDefault="00BD547D" w:rsidP="00BD547D">
      <w:pPr>
        <w:pStyle w:val="ListParagraph"/>
        <w:numPr>
          <w:ilvl w:val="0"/>
          <w:numId w:val="8"/>
        </w:numPr>
        <w:spacing w:afterLines="50" w:after="120" w:line="276" w:lineRule="auto"/>
        <w:contextualSpacing w:val="0"/>
        <w:rPr>
          <w:rFonts w:eastAsia="Times New Roman" w:cs="Arial"/>
          <w:vanish/>
          <w:kern w:val="0"/>
          <w:szCs w:val="22"/>
          <w:lang w:val="en-US" w:eastAsia="en-AU"/>
          <w14:ligatures w14:val="none"/>
        </w:rPr>
      </w:pPr>
    </w:p>
    <w:p w14:paraId="5211CF40" w14:textId="77777777" w:rsidR="00BD547D" w:rsidRDefault="00BD547D" w:rsidP="00BD547D">
      <w:pPr>
        <w:pStyle w:val="MPLParagraphlevel1"/>
        <w:numPr>
          <w:ilvl w:val="2"/>
          <w:numId w:val="9"/>
        </w:numPr>
        <w:spacing w:after="120"/>
      </w:pPr>
      <w:r>
        <w:t xml:space="preserve">To the extent permitted by law and the Enterprise Agreement, the University may direct an employee to take leave if required to reduce an Excessive Leave Balance. </w:t>
      </w:r>
    </w:p>
    <w:p w14:paraId="1048A106" w14:textId="77777777" w:rsidR="00BD547D" w:rsidRPr="009E7191" w:rsidRDefault="00BD547D" w:rsidP="00BD547D">
      <w:pPr>
        <w:pStyle w:val="MPLParagraphlevel1"/>
        <w:spacing w:after="120"/>
      </w:pPr>
      <w:r w:rsidRPr="009E7191">
        <w:t>Annual leave will be taken as required by clause 1.19.10 of the Enterprise Agreement, including where the employee has an Excessive Leave Balance (</w:t>
      </w:r>
      <w:r w:rsidRPr="00E81940">
        <w:t>balances over six weeks (30 days</w:t>
      </w:r>
      <w:r w:rsidRPr="003B4795">
        <w:t>))</w:t>
      </w:r>
      <w:r w:rsidRPr="009E7191">
        <w:t>.</w:t>
      </w:r>
    </w:p>
    <w:p w14:paraId="4D561455" w14:textId="77777777" w:rsidR="00BD547D" w:rsidRPr="009E7191" w:rsidRDefault="00BD547D" w:rsidP="00BD547D">
      <w:pPr>
        <w:pStyle w:val="MPLParagraphlevel1"/>
        <w:spacing w:after="120"/>
      </w:pPr>
      <w:r w:rsidRPr="009E7191">
        <w:t>The University may request an employee to take Long Service Leave in accordance with section 19 of the Long Service Leave Act 2018 (Vic) (‘the Act’), including where the employee has an Excessive Leave Balance (in excess of 19.5 weeks), by giving the employee at least 12 weeks’ written notice.</w:t>
      </w:r>
    </w:p>
    <w:p w14:paraId="7A56E0B5" w14:textId="77777777" w:rsidR="00BD547D" w:rsidRPr="009E7191" w:rsidRDefault="00BD547D" w:rsidP="00BD547D">
      <w:pPr>
        <w:pStyle w:val="MPLHeading1"/>
        <w:rPr>
          <w:b w:val="0"/>
          <w:bCs w:val="0"/>
        </w:rPr>
      </w:pPr>
      <w:r>
        <w:t>Obligations</w:t>
      </w:r>
      <w:r w:rsidRPr="00E81940">
        <w:t xml:space="preserve"> of employees </w:t>
      </w:r>
      <w:r>
        <w:t xml:space="preserve">while </w:t>
      </w:r>
      <w:r w:rsidRPr="00E81940">
        <w:t>on leave</w:t>
      </w:r>
    </w:p>
    <w:p w14:paraId="71F78C2B" w14:textId="77777777" w:rsidR="00BD547D" w:rsidRDefault="00BD547D" w:rsidP="00BD547D">
      <w:pPr>
        <w:pStyle w:val="MPLParagraphlevel1"/>
        <w:numPr>
          <w:ilvl w:val="2"/>
          <w:numId w:val="10"/>
        </w:numPr>
        <w:spacing w:after="120"/>
      </w:pPr>
      <w:r>
        <w:t xml:space="preserve">An employee on leave (including unpaid leave) remains employed by the University. </w:t>
      </w:r>
    </w:p>
    <w:p w14:paraId="40C936BF" w14:textId="77777777" w:rsidR="00BD547D" w:rsidRDefault="00BD547D" w:rsidP="00BD547D">
      <w:pPr>
        <w:pStyle w:val="MPLParagraphlevel1"/>
        <w:spacing w:after="120"/>
      </w:pPr>
      <w:r>
        <w:lastRenderedPageBreak/>
        <w:t xml:space="preserve">Employees who are on any form of leave, paid or unpaid, may only engage in external work with the written consent of the University </w:t>
      </w:r>
      <w:r w:rsidRPr="00131E86">
        <w:t>under the Outside Work Procedure</w:t>
      </w:r>
      <w:r w:rsidRPr="00E81940">
        <w:t xml:space="preserve"> </w:t>
      </w:r>
      <w:hyperlink r:id="rId14" w:history="1">
        <w:r w:rsidRPr="009E7191">
          <w:t>(MPF1129)</w:t>
        </w:r>
      </w:hyperlink>
      <w:r w:rsidRPr="009E7191">
        <w:t xml:space="preserve">, </w:t>
      </w:r>
      <w:r w:rsidRPr="00131E86">
        <w:t>and as permitted</w:t>
      </w:r>
      <w:r>
        <w:t xml:space="preserve"> by law. </w:t>
      </w:r>
    </w:p>
    <w:p w14:paraId="0246113C" w14:textId="77777777" w:rsidR="00BD547D" w:rsidRDefault="00BD547D" w:rsidP="00BD547D">
      <w:pPr>
        <w:pStyle w:val="MPLHeading1"/>
      </w:pPr>
      <w:r w:rsidRPr="00E81940">
        <w:t>Use of leav</w:t>
      </w:r>
      <w:r>
        <w:t>e</w:t>
      </w:r>
      <w:r w:rsidRPr="00E81940">
        <w:t xml:space="preserve"> entitlements</w:t>
      </w:r>
      <w:r>
        <w:t xml:space="preserve"> </w:t>
      </w:r>
    </w:p>
    <w:p w14:paraId="550FE816" w14:textId="77777777" w:rsidR="00BD547D" w:rsidRDefault="00BD547D" w:rsidP="005F5238">
      <w:pPr>
        <w:pStyle w:val="MPLParagraphlevel1"/>
        <w:numPr>
          <w:ilvl w:val="2"/>
          <w:numId w:val="46"/>
        </w:numPr>
        <w:spacing w:after="120"/>
      </w:pPr>
      <w:r>
        <w:t xml:space="preserve">Leave entitlements are accrued for the personal use of an employee during their employment with the University. Accordingly, unused leave entitlements are not transferrable between: </w:t>
      </w:r>
    </w:p>
    <w:p w14:paraId="215F5615" w14:textId="77777777" w:rsidR="00584537" w:rsidRDefault="00BD547D" w:rsidP="00BD547D">
      <w:pPr>
        <w:pStyle w:val="MPLParagraphlevel1"/>
        <w:numPr>
          <w:ilvl w:val="3"/>
          <w:numId w:val="11"/>
        </w:numPr>
        <w:spacing w:after="120"/>
      </w:pPr>
      <w:r w:rsidRPr="006C3F41">
        <w:t xml:space="preserve">employees; or </w:t>
      </w:r>
    </w:p>
    <w:p w14:paraId="78A60683" w14:textId="5676A9DD" w:rsidR="00BD547D" w:rsidRPr="006C3F41" w:rsidRDefault="00BD547D" w:rsidP="00BD547D">
      <w:pPr>
        <w:pStyle w:val="MPLParagraphlevel1"/>
        <w:numPr>
          <w:ilvl w:val="3"/>
          <w:numId w:val="11"/>
        </w:numPr>
        <w:spacing w:after="120"/>
      </w:pPr>
      <w:r w:rsidRPr="006C3F41">
        <w:t xml:space="preserve">the University and other employers. </w:t>
      </w:r>
    </w:p>
    <w:p w14:paraId="1454C5D4" w14:textId="77777777" w:rsidR="00BD547D" w:rsidRPr="00E81940" w:rsidRDefault="00BD547D" w:rsidP="00BD547D">
      <w:pPr>
        <w:pStyle w:val="MPLHeading1"/>
      </w:pPr>
      <w:r w:rsidRPr="00E81940">
        <w:t>Recognition of prior service</w:t>
      </w:r>
    </w:p>
    <w:p w14:paraId="23547CA2" w14:textId="77777777" w:rsidR="00EB1632" w:rsidRDefault="00BD547D" w:rsidP="00C65D68">
      <w:pPr>
        <w:pStyle w:val="MPLParagraphlevel1"/>
        <w:numPr>
          <w:ilvl w:val="2"/>
          <w:numId w:val="42"/>
        </w:numPr>
        <w:spacing w:after="120"/>
      </w:pPr>
      <w:r>
        <w:t>For the purposes of long service leave:</w:t>
      </w:r>
    </w:p>
    <w:p w14:paraId="0B910C9A" w14:textId="77777777" w:rsidR="00EB1632" w:rsidRDefault="00BD547D" w:rsidP="00EB1632">
      <w:pPr>
        <w:pStyle w:val="MPLParagraphlevel1"/>
        <w:numPr>
          <w:ilvl w:val="3"/>
          <w:numId w:val="12"/>
        </w:numPr>
        <w:spacing w:after="120"/>
      </w:pPr>
      <w:r w:rsidRPr="00FD7D07">
        <w:t xml:space="preserve">The University may, at its discretion, </w:t>
      </w:r>
      <w:proofErr w:type="spellStart"/>
      <w:r w:rsidRPr="00FD7D07">
        <w:t>recognise</w:t>
      </w:r>
      <w:proofErr w:type="spellEnd"/>
      <w:r w:rsidRPr="00FD7D07">
        <w:t xml:space="preserve"> an employee’s service in another </w:t>
      </w:r>
      <w:proofErr w:type="spellStart"/>
      <w:r w:rsidRPr="00FD7D07">
        <w:t>organisation</w:t>
      </w:r>
      <w:proofErr w:type="spellEnd"/>
      <w:r w:rsidRPr="00FD7D07">
        <w:t xml:space="preserve"> for the purpose of determining the date of entitlement to long service leave accrued during employment with the University;</w:t>
      </w:r>
    </w:p>
    <w:p w14:paraId="6C640B60" w14:textId="14012910" w:rsidR="00BD547D" w:rsidRPr="00FD7D07" w:rsidRDefault="00BD547D" w:rsidP="00EB1632">
      <w:pPr>
        <w:pStyle w:val="MPLParagraphlevel1"/>
        <w:numPr>
          <w:ilvl w:val="3"/>
          <w:numId w:val="12"/>
        </w:numPr>
        <w:spacing w:after="120"/>
      </w:pPr>
      <w:r w:rsidRPr="00FD7D07">
        <w:t xml:space="preserve">The University does not transfer or set aside the equivalent value of long service leave accrued with another employer. </w:t>
      </w:r>
    </w:p>
    <w:p w14:paraId="55155CC2" w14:textId="77777777" w:rsidR="00BD547D" w:rsidRDefault="00BD547D" w:rsidP="00BD547D">
      <w:pPr>
        <w:pStyle w:val="MPLParagraphlevel1"/>
        <w:numPr>
          <w:ilvl w:val="2"/>
          <w:numId w:val="12"/>
        </w:numPr>
        <w:spacing w:after="120"/>
      </w:pPr>
      <w:r>
        <w:t xml:space="preserve">The University will consider applications for recognition of prior service where: </w:t>
      </w:r>
    </w:p>
    <w:p w14:paraId="3DAB8440" w14:textId="77777777" w:rsidR="00C65D68" w:rsidRDefault="00BD547D" w:rsidP="00BD547D">
      <w:pPr>
        <w:pStyle w:val="MPLParagraphlevel1"/>
        <w:numPr>
          <w:ilvl w:val="3"/>
          <w:numId w:val="12"/>
        </w:numPr>
        <w:spacing w:after="120"/>
      </w:pPr>
      <w:r w:rsidRPr="00FD7D07">
        <w:t xml:space="preserve">the previous employer is an Australian University or an </w:t>
      </w:r>
      <w:proofErr w:type="spellStart"/>
      <w:r w:rsidRPr="00FD7D07">
        <w:t>organisation</w:t>
      </w:r>
      <w:proofErr w:type="spellEnd"/>
      <w:r w:rsidRPr="00FD7D07">
        <w:t xml:space="preserve"> that has a reciprocal arrangement with the University to </w:t>
      </w:r>
      <w:proofErr w:type="spellStart"/>
      <w:r w:rsidRPr="00FD7D07">
        <w:t>recognise</w:t>
      </w:r>
      <w:proofErr w:type="spellEnd"/>
      <w:r w:rsidRPr="00FD7D07">
        <w:t xml:space="preserve"> service; </w:t>
      </w:r>
    </w:p>
    <w:p w14:paraId="12437635" w14:textId="77777777" w:rsidR="00C65D68" w:rsidRDefault="00BD547D" w:rsidP="00BD547D">
      <w:pPr>
        <w:pStyle w:val="MPLParagraphlevel1"/>
        <w:numPr>
          <w:ilvl w:val="3"/>
          <w:numId w:val="12"/>
        </w:numPr>
        <w:spacing w:after="120"/>
      </w:pPr>
      <w:r w:rsidRPr="00FD7D07">
        <w:t xml:space="preserve">the relevant previous employer is the employee’s most recent employer prior to commencement with the University; </w:t>
      </w:r>
    </w:p>
    <w:p w14:paraId="6758EAAE" w14:textId="77777777" w:rsidR="00C65D68" w:rsidRDefault="00BD547D" w:rsidP="00BD547D">
      <w:pPr>
        <w:pStyle w:val="MPLParagraphlevel1"/>
        <w:numPr>
          <w:ilvl w:val="3"/>
          <w:numId w:val="12"/>
        </w:numPr>
        <w:spacing w:after="120"/>
      </w:pPr>
      <w:r w:rsidRPr="00FD7D07">
        <w:t xml:space="preserve">a break in service between the previous employer and the University does not exceed four continuous weeks; </w:t>
      </w:r>
    </w:p>
    <w:p w14:paraId="0E5768CC" w14:textId="77777777" w:rsidR="00C65D68" w:rsidRDefault="00BD547D" w:rsidP="00BD547D">
      <w:pPr>
        <w:pStyle w:val="MPLParagraphlevel1"/>
        <w:numPr>
          <w:ilvl w:val="3"/>
          <w:numId w:val="12"/>
        </w:numPr>
        <w:spacing w:after="120"/>
      </w:pPr>
      <w:r w:rsidRPr="00FD7D07">
        <w:t xml:space="preserve">the employee provides consent for the University to verify length of service with the previous employer; and </w:t>
      </w:r>
    </w:p>
    <w:p w14:paraId="7F69E329" w14:textId="551E8168" w:rsidR="00BD547D" w:rsidRDefault="00BD547D" w:rsidP="00BD547D">
      <w:pPr>
        <w:pStyle w:val="MPLParagraphlevel1"/>
        <w:numPr>
          <w:ilvl w:val="3"/>
          <w:numId w:val="12"/>
        </w:numPr>
        <w:spacing w:after="120"/>
      </w:pPr>
      <w:r w:rsidRPr="00FD7D07">
        <w:t xml:space="preserve">the previous employer confirms in writing the length of service with their </w:t>
      </w:r>
      <w:proofErr w:type="spellStart"/>
      <w:r w:rsidRPr="00FD7D07">
        <w:t>organisation</w:t>
      </w:r>
      <w:proofErr w:type="spellEnd"/>
      <w:r w:rsidRPr="00FD7D07">
        <w:t xml:space="preserve"> (excluding any recognition of service they may have previously granted with another </w:t>
      </w:r>
      <w:proofErr w:type="spellStart"/>
      <w:r w:rsidRPr="00FD7D07">
        <w:t>organisation</w:t>
      </w:r>
      <w:proofErr w:type="spellEnd"/>
      <w:r w:rsidRPr="00FD7D07">
        <w:t>).</w:t>
      </w:r>
      <w:r>
        <w:t xml:space="preserve"> </w:t>
      </w:r>
    </w:p>
    <w:p w14:paraId="1C3C913C" w14:textId="5A4F1945" w:rsidR="00BD547D" w:rsidRPr="00E81940" w:rsidRDefault="00BD547D" w:rsidP="00BD547D">
      <w:pPr>
        <w:pStyle w:val="MPLParagraphlevel1"/>
        <w:numPr>
          <w:ilvl w:val="2"/>
          <w:numId w:val="12"/>
        </w:numPr>
        <w:spacing w:after="120"/>
      </w:pPr>
      <w:r>
        <w:t xml:space="preserve">An employee who wishes to request that their prior service is </w:t>
      </w:r>
      <w:proofErr w:type="spellStart"/>
      <w:r>
        <w:t>recognised</w:t>
      </w:r>
      <w:proofErr w:type="spellEnd"/>
      <w:r>
        <w:t xml:space="preserve"> under section 5.</w:t>
      </w:r>
      <w:r w:rsidR="009A5163">
        <w:t>6.1</w:t>
      </w:r>
      <w:r>
        <w:t xml:space="preserve"> is required to make the request, by completing and lodging the form </w:t>
      </w:r>
      <w:hyperlink r:id="rId15" w:tooltip="HR 52 - Recognition of Prior Service from Another Organisation" w:history="1">
        <w:r>
          <w:rPr>
            <w:rStyle w:val="Hyperlink"/>
            <w:rFonts w:ascii="Roboto" w:hAnsi="Roboto"/>
            <w:color w:val="2A6496"/>
            <w:sz w:val="21"/>
            <w:szCs w:val="21"/>
            <w:shd w:val="clear" w:color="auto" w:fill="FFFFFF"/>
          </w:rPr>
          <w:t>HR 52</w:t>
        </w:r>
      </w:hyperlink>
      <w:r>
        <w:t xml:space="preserve">, no later than 4 weeks before the final date of their employment with the University.  </w:t>
      </w:r>
    </w:p>
    <w:p w14:paraId="5A9C6FA8" w14:textId="77777777" w:rsidR="00BD547D" w:rsidRDefault="00BD547D" w:rsidP="00BD547D">
      <w:pPr>
        <w:pStyle w:val="MPLHeading1"/>
      </w:pPr>
      <w:r w:rsidRPr="5D228F63">
        <w:t>Discretionary</w:t>
      </w:r>
      <w:r w:rsidRPr="00E81940">
        <w:t xml:space="preserve"> leave</w:t>
      </w:r>
    </w:p>
    <w:p w14:paraId="3E745719" w14:textId="77777777" w:rsidR="00BD547D" w:rsidRDefault="00BD547D" w:rsidP="00B659FD">
      <w:pPr>
        <w:pStyle w:val="MPLParagraphlevel1"/>
        <w:numPr>
          <w:ilvl w:val="2"/>
          <w:numId w:val="45"/>
        </w:numPr>
        <w:spacing w:after="120"/>
      </w:pPr>
      <w:r>
        <w:t>Paid leave of absence for the following purposes may be provided to employees at the discretion of the University:</w:t>
      </w:r>
    </w:p>
    <w:p w14:paraId="7F0467A3" w14:textId="77777777" w:rsidR="00C0247E" w:rsidRDefault="00BD547D" w:rsidP="00107CC2">
      <w:pPr>
        <w:pStyle w:val="MPLParagraphlevel2"/>
        <w:numPr>
          <w:ilvl w:val="0"/>
          <w:numId w:val="31"/>
        </w:numPr>
      </w:pPr>
      <w:r w:rsidRPr="00C0247E">
        <w:rPr>
          <w:b/>
        </w:rPr>
        <w:t xml:space="preserve">Australian </w:t>
      </w:r>
      <w:proofErr w:type="spellStart"/>
      <w:r w:rsidRPr="00C0247E">
        <w:rPr>
          <w:b/>
        </w:rPr>
        <w:t>Defence</w:t>
      </w:r>
      <w:proofErr w:type="spellEnd"/>
      <w:r w:rsidRPr="00C0247E">
        <w:rPr>
          <w:b/>
        </w:rPr>
        <w:t xml:space="preserve"> Services leave: </w:t>
      </w:r>
      <w:r>
        <w:t xml:space="preserve">A continuing or fixed-term employee who is an Australian </w:t>
      </w:r>
      <w:proofErr w:type="spellStart"/>
      <w:r>
        <w:t>Defence</w:t>
      </w:r>
      <w:proofErr w:type="spellEnd"/>
      <w:r>
        <w:t xml:space="preserve"> Services </w:t>
      </w:r>
      <w:proofErr w:type="spellStart"/>
      <w:r>
        <w:t>Defence</w:t>
      </w:r>
      <w:proofErr w:type="spellEnd"/>
      <w:r>
        <w:t xml:space="preserve"> Reservist may apply for an amount of paid special leave for the purpose of </w:t>
      </w:r>
      <w:proofErr w:type="spellStart"/>
      <w:r>
        <w:t>defence</w:t>
      </w:r>
      <w:proofErr w:type="spellEnd"/>
      <w:r>
        <w:t xml:space="preserve"> training:</w:t>
      </w:r>
    </w:p>
    <w:p w14:paraId="064A0ECD" w14:textId="0164775B" w:rsidR="008377AA" w:rsidRDefault="008377AA" w:rsidP="00C0247E">
      <w:pPr>
        <w:pStyle w:val="MPLParagraphlevel2"/>
        <w:numPr>
          <w:ilvl w:val="0"/>
          <w:numId w:val="30"/>
        </w:numPr>
      </w:pPr>
      <w:r w:rsidRPr="008377AA">
        <w:lastRenderedPageBreak/>
        <w:t xml:space="preserve">the annual training camp, up to 14 days (including Saturdays and Sundays) plus a further four days on the certification of the Commanding Officer of the particular unit that the additional days are necessary; and  </w:t>
      </w:r>
    </w:p>
    <w:p w14:paraId="7CC920FB" w14:textId="77777777" w:rsidR="00107CC2" w:rsidRDefault="00BD547D" w:rsidP="00107CC2">
      <w:pPr>
        <w:pStyle w:val="MPLParagraphlevel2"/>
        <w:numPr>
          <w:ilvl w:val="0"/>
          <w:numId w:val="30"/>
        </w:numPr>
      </w:pPr>
      <w:r w:rsidRPr="001F1376">
        <w:t xml:space="preserve">for attendance at one school, class or course of instruction annually, up to 16 days (including Saturdays and Sundays). </w:t>
      </w:r>
      <w:r w:rsidR="00F812B6">
        <w:tab/>
      </w:r>
    </w:p>
    <w:p w14:paraId="0B9B461B" w14:textId="0F2E42E6" w:rsidR="00BD547D" w:rsidRDefault="00BD547D" w:rsidP="00074C5E">
      <w:pPr>
        <w:pStyle w:val="MPLParagraphlevel2"/>
        <w:numPr>
          <w:ilvl w:val="0"/>
          <w:numId w:val="31"/>
        </w:numPr>
      </w:pPr>
      <w:r w:rsidRPr="00545689">
        <w:t xml:space="preserve">A continuing employee who is a </w:t>
      </w:r>
      <w:proofErr w:type="spellStart"/>
      <w:r w:rsidRPr="00545689">
        <w:t>Defence</w:t>
      </w:r>
      <w:proofErr w:type="spellEnd"/>
      <w:r w:rsidRPr="00545689">
        <w:t xml:space="preserve"> Reservist may also request unpaid leave for the full period of any deployment with the Australian </w:t>
      </w:r>
      <w:proofErr w:type="spellStart"/>
      <w:r w:rsidRPr="00545689">
        <w:t>Defence</w:t>
      </w:r>
      <w:proofErr w:type="spellEnd"/>
      <w:r w:rsidRPr="00545689">
        <w:t xml:space="preserve"> Services. </w:t>
      </w:r>
    </w:p>
    <w:p w14:paraId="5EDD40EA" w14:textId="77777777" w:rsidR="00BD547D" w:rsidRPr="00545689" w:rsidRDefault="00BD547D" w:rsidP="00BD547D">
      <w:pPr>
        <w:pStyle w:val="MPLParagraphlevel2"/>
        <w:numPr>
          <w:ilvl w:val="0"/>
          <w:numId w:val="31"/>
        </w:numPr>
      </w:pPr>
      <w:r w:rsidRPr="008C0DE0">
        <w:rPr>
          <w:b/>
          <w:bCs/>
        </w:rPr>
        <w:t>Study leave:</w:t>
      </w:r>
      <w:r w:rsidRPr="00CC0541">
        <w:t xml:space="preserve"> </w:t>
      </w:r>
      <w:r w:rsidRPr="00545689">
        <w:t xml:space="preserve">The University may, at its discretion, and in addition to </w:t>
      </w:r>
      <w:r>
        <w:t>any</w:t>
      </w:r>
      <w:r w:rsidRPr="00545689">
        <w:t xml:space="preserve"> </w:t>
      </w:r>
      <w:r>
        <w:t xml:space="preserve">paid </w:t>
      </w:r>
      <w:r w:rsidRPr="00545689">
        <w:t xml:space="preserve">leave provided under clause 1.31 of the Enterprise Agreement </w:t>
      </w:r>
      <w:r>
        <w:t>for</w:t>
      </w:r>
      <w:r w:rsidRPr="00220CF4">
        <w:t xml:space="preserve"> attend</w:t>
      </w:r>
      <w:r>
        <w:t>ing</w:t>
      </w:r>
      <w:r w:rsidRPr="00220CF4">
        <w:t xml:space="preserve"> course examinations</w:t>
      </w:r>
      <w:r>
        <w:t xml:space="preserve"> (see section 5.5 above)</w:t>
      </w:r>
      <w:r w:rsidRPr="00545689">
        <w:t xml:space="preserve">, provide paid study leave to employees who have completed their probationary period. </w:t>
      </w:r>
    </w:p>
    <w:p w14:paraId="691044CF" w14:textId="5345525E" w:rsidR="00BD547D" w:rsidRPr="00545689" w:rsidRDefault="00BD547D" w:rsidP="00AF41ED">
      <w:pPr>
        <w:pStyle w:val="MPLParagraphlevel2"/>
        <w:numPr>
          <w:ilvl w:val="0"/>
          <w:numId w:val="31"/>
        </w:numPr>
      </w:pPr>
      <w:r w:rsidRPr="00074C5E">
        <w:t>Study leave</w:t>
      </w:r>
      <w:r w:rsidRPr="00545689">
        <w:t xml:space="preserve"> is available for employees to undertake: </w:t>
      </w:r>
    </w:p>
    <w:p w14:paraId="7E459A2B" w14:textId="77777777" w:rsidR="007504FB" w:rsidRDefault="00BD547D" w:rsidP="00A570F7">
      <w:pPr>
        <w:pStyle w:val="MPLParagraphlevel3"/>
        <w:numPr>
          <w:ilvl w:val="0"/>
          <w:numId w:val="15"/>
        </w:numPr>
        <w:ind w:left="1134" w:firstLine="0"/>
      </w:pPr>
      <w:r w:rsidRPr="00545689">
        <w:t xml:space="preserve">a </w:t>
      </w:r>
      <w:proofErr w:type="spellStart"/>
      <w:r w:rsidRPr="00545689">
        <w:t>recognised</w:t>
      </w:r>
      <w:proofErr w:type="spellEnd"/>
      <w:r w:rsidRPr="00545689">
        <w:t xml:space="preserve"> course of study acceptable to the University, including a special or bridging course, at a university or a TAFE college; or </w:t>
      </w:r>
    </w:p>
    <w:p w14:paraId="2AA0F600" w14:textId="6A133783" w:rsidR="00A570F7" w:rsidRDefault="00BD547D" w:rsidP="00A570F7">
      <w:pPr>
        <w:pStyle w:val="MPLParagraphlevel3"/>
        <w:numPr>
          <w:ilvl w:val="0"/>
          <w:numId w:val="15"/>
        </w:numPr>
        <w:ind w:left="1134" w:firstLine="0"/>
      </w:pPr>
      <w:r w:rsidRPr="00545689">
        <w:t xml:space="preserve">any other accredited course at a tertiary institution or a professional </w:t>
      </w:r>
      <w:proofErr w:type="spellStart"/>
      <w:r w:rsidRPr="00545689">
        <w:t>organisation</w:t>
      </w:r>
      <w:proofErr w:type="spellEnd"/>
      <w:r w:rsidRPr="00545689">
        <w:t xml:space="preserve">, that leads to a </w:t>
      </w:r>
      <w:proofErr w:type="spellStart"/>
      <w:r w:rsidRPr="00545689">
        <w:t>recognised</w:t>
      </w:r>
      <w:proofErr w:type="spellEnd"/>
      <w:r w:rsidRPr="00545689">
        <w:t xml:space="preserve"> qualification. </w:t>
      </w:r>
    </w:p>
    <w:p w14:paraId="3C2D6926" w14:textId="5B7B776A" w:rsidR="00526C73" w:rsidRDefault="00BD547D" w:rsidP="00B23E1C">
      <w:pPr>
        <w:pStyle w:val="MPLParagraphlevel3"/>
        <w:numPr>
          <w:ilvl w:val="0"/>
          <w:numId w:val="31"/>
        </w:numPr>
      </w:pPr>
      <w:r w:rsidRPr="00545689">
        <w:t>Study leave may only be approved if the employee can demonstrate that the course of study</w:t>
      </w:r>
      <w:r w:rsidR="00C11753">
        <w:t xml:space="preserve"> </w:t>
      </w:r>
      <w:r w:rsidRPr="00545689">
        <w:t xml:space="preserve">will: </w:t>
      </w:r>
    </w:p>
    <w:p w14:paraId="7486A5BA" w14:textId="77777777" w:rsidR="00B5492A" w:rsidRDefault="00BD547D" w:rsidP="00BD547D">
      <w:pPr>
        <w:pStyle w:val="MPLParagraphlevel2"/>
        <w:numPr>
          <w:ilvl w:val="0"/>
          <w:numId w:val="35"/>
        </w:numPr>
      </w:pPr>
      <w:r w:rsidRPr="00545689">
        <w:t>assist the employee’s professional or career development, even if the course or subject is not directly related to their current work;</w:t>
      </w:r>
    </w:p>
    <w:p w14:paraId="39C822EA" w14:textId="77777777" w:rsidR="00D77691" w:rsidRDefault="00BD547D" w:rsidP="00D77691">
      <w:pPr>
        <w:pStyle w:val="MPLParagraphlevel2"/>
        <w:numPr>
          <w:ilvl w:val="0"/>
          <w:numId w:val="35"/>
        </w:numPr>
      </w:pPr>
      <w:r w:rsidRPr="00545689">
        <w:t xml:space="preserve">meet the skill development needs of the employee’s work area; </w:t>
      </w:r>
    </w:p>
    <w:p w14:paraId="62AA375E" w14:textId="77777777" w:rsidR="00D77691" w:rsidRDefault="00BD547D" w:rsidP="00D77691">
      <w:pPr>
        <w:pStyle w:val="MPLParagraphlevel2"/>
        <w:numPr>
          <w:ilvl w:val="0"/>
          <w:numId w:val="35"/>
        </w:numPr>
      </w:pPr>
      <w:r w:rsidRPr="00545689">
        <w:t xml:space="preserve">develop the employee’s skills relevant to the University; and </w:t>
      </w:r>
    </w:p>
    <w:p w14:paraId="3FE1A233" w14:textId="4CD12A24" w:rsidR="00BD547D" w:rsidRPr="00545689" w:rsidRDefault="00BD547D" w:rsidP="00D77691">
      <w:pPr>
        <w:pStyle w:val="MPLParagraphlevel2"/>
        <w:numPr>
          <w:ilvl w:val="0"/>
          <w:numId w:val="35"/>
        </w:numPr>
      </w:pPr>
      <w:r w:rsidRPr="00545689">
        <w:t xml:space="preserve">for fixed-term employees, be completed 12 months prior to the end of their fixed-term contract. </w:t>
      </w:r>
    </w:p>
    <w:p w14:paraId="51A2933F" w14:textId="77777777" w:rsidR="007504FB" w:rsidRDefault="00BD547D" w:rsidP="00BD547D">
      <w:pPr>
        <w:pStyle w:val="MPLParagraphlevel3"/>
        <w:numPr>
          <w:ilvl w:val="0"/>
          <w:numId w:val="31"/>
        </w:numPr>
      </w:pPr>
      <w:r w:rsidRPr="00545689">
        <w:t xml:space="preserve">Study leave is available in accordance with </w:t>
      </w:r>
      <w:r>
        <w:t xml:space="preserve">process set out in </w:t>
      </w:r>
      <w:r w:rsidRPr="00545689">
        <w:t>the</w:t>
      </w:r>
      <w:r>
        <w:t xml:space="preserve"> </w:t>
      </w:r>
      <w:hyperlink r:id="rId16" w:history="1">
        <w:r>
          <w:rPr>
            <w:rStyle w:val="Hyperlink"/>
          </w:rPr>
          <w:t>Leave: Applying for Study Leave process</w:t>
        </w:r>
      </w:hyperlink>
      <w:r>
        <w:t>.</w:t>
      </w:r>
    </w:p>
    <w:p w14:paraId="145C8709" w14:textId="77777777" w:rsidR="007504FB" w:rsidRPr="007504FB" w:rsidRDefault="00BD547D" w:rsidP="00BD547D">
      <w:pPr>
        <w:pStyle w:val="MPLParagraphlevel3"/>
        <w:numPr>
          <w:ilvl w:val="0"/>
          <w:numId w:val="31"/>
        </w:numPr>
      </w:pPr>
      <w:r w:rsidRPr="00F01431">
        <w:t xml:space="preserve">The University may exercise its discretion at any time to revoke approval for study leave or part thereof (with the exception of attendance at examinations) if the employee is required to attend work to support operational requirements. </w:t>
      </w:r>
      <w:r w:rsidR="003A48BD">
        <w:br/>
      </w:r>
    </w:p>
    <w:p w14:paraId="330728F5" w14:textId="77777777" w:rsidR="007504FB" w:rsidRDefault="00BD547D" w:rsidP="00BD547D">
      <w:pPr>
        <w:pStyle w:val="MPLParagraphlevel3"/>
        <w:numPr>
          <w:ilvl w:val="0"/>
          <w:numId w:val="31"/>
        </w:numPr>
      </w:pPr>
      <w:r w:rsidRPr="007504FB">
        <w:rPr>
          <w:b/>
        </w:rPr>
        <w:t>Volunteering leave</w:t>
      </w:r>
      <w:r w:rsidRPr="00F01431">
        <w:t xml:space="preserve">: In </w:t>
      </w:r>
      <w:r w:rsidRPr="007B1CE1">
        <w:t>addition</w:t>
      </w:r>
      <w:r w:rsidRPr="00F01431">
        <w:t xml:space="preserve"> to an employee’s entitlement to Community Service Leave under clause 1.29 of the Enterprise agreement (see section 5.</w:t>
      </w:r>
      <w:r>
        <w:t>5</w:t>
      </w:r>
      <w:r w:rsidRPr="00F01431">
        <w:t xml:space="preserve"> above), an employee may apply for up to two days per annum (non-cumulative) to engage in Volunteer Service either as two full days or as an aggregate of 14.5 hours over the course of a year (pro-rata for part-time employees). </w:t>
      </w:r>
    </w:p>
    <w:p w14:paraId="439D1054" w14:textId="5316F6CE" w:rsidR="00BD547D" w:rsidRPr="00F01431" w:rsidRDefault="00BD547D" w:rsidP="00BD547D">
      <w:pPr>
        <w:pStyle w:val="MPLParagraphlevel3"/>
        <w:numPr>
          <w:ilvl w:val="0"/>
          <w:numId w:val="31"/>
        </w:numPr>
      </w:pPr>
      <w:r w:rsidRPr="00F01431">
        <w:t xml:space="preserve">A </w:t>
      </w:r>
      <w:r w:rsidRPr="007B1CE1">
        <w:t>written</w:t>
      </w:r>
      <w:r w:rsidRPr="00F01431">
        <w:t xml:space="preserve"> request by an employee for volunteer leave must include: </w:t>
      </w:r>
    </w:p>
    <w:p w14:paraId="7260C66E" w14:textId="77777777" w:rsidR="00DC7F5D" w:rsidRDefault="00DC7F5D" w:rsidP="00DC7F5D">
      <w:pPr>
        <w:pStyle w:val="MPLParagraphlevel3"/>
        <w:numPr>
          <w:ilvl w:val="0"/>
          <w:numId w:val="0"/>
        </w:numPr>
        <w:ind w:left="720"/>
      </w:pPr>
    </w:p>
    <w:p w14:paraId="44DB4C9D" w14:textId="05B10363" w:rsidR="007504FB" w:rsidRDefault="00BD547D" w:rsidP="00B03109">
      <w:pPr>
        <w:pStyle w:val="MPLParagraphlevel3"/>
        <w:numPr>
          <w:ilvl w:val="1"/>
          <w:numId w:val="38"/>
        </w:numPr>
      </w:pPr>
      <w:r w:rsidRPr="007B1CE1">
        <w:t>written confirmation from the Volunteer Organisation that the employee is (or will be) engaging in Volunteer Service, and details of the nature of the volunteer work to be undertaken; and</w:t>
      </w:r>
    </w:p>
    <w:p w14:paraId="3794F826" w14:textId="07606107" w:rsidR="00BD547D" w:rsidRPr="007B1CE1" w:rsidRDefault="00BD547D" w:rsidP="00B03109">
      <w:pPr>
        <w:pStyle w:val="MPLParagraphlevel3"/>
        <w:numPr>
          <w:ilvl w:val="1"/>
          <w:numId w:val="38"/>
        </w:numPr>
      </w:pPr>
      <w:r w:rsidRPr="007B1CE1">
        <w:t xml:space="preserve">acknowledgement that it is the employee’s responsibility to satisfy themselves that the Volunteer Organisation has adequate insurance coverage for any claim that may be made against the employee or for injury resulting to the employee from participation in the Volunteer Service. </w:t>
      </w:r>
    </w:p>
    <w:p w14:paraId="6900AD3B" w14:textId="1E1EBF00" w:rsidR="00BD547D" w:rsidRPr="00F01431" w:rsidRDefault="00BD547D" w:rsidP="00B03109">
      <w:pPr>
        <w:pStyle w:val="MPLParagraphlevel2"/>
        <w:numPr>
          <w:ilvl w:val="0"/>
          <w:numId w:val="31"/>
        </w:numPr>
      </w:pPr>
      <w:r w:rsidRPr="00E81940">
        <w:rPr>
          <w:b/>
        </w:rPr>
        <w:t>Quarantine leave</w:t>
      </w:r>
      <w:r w:rsidRPr="00F01431">
        <w:t>: A continuing or fixed-term employee may apply for an amount of paid special leave in the case of quarantine, for the duration of the period of compulsory isolation.</w:t>
      </w:r>
    </w:p>
    <w:p w14:paraId="5A02B20F" w14:textId="77777777" w:rsidR="00BD547D" w:rsidRDefault="00BD547D" w:rsidP="00BD547D">
      <w:pPr>
        <w:pStyle w:val="MPLNoNumberingHeadings"/>
      </w:pPr>
      <w:r>
        <w:lastRenderedPageBreak/>
        <w:t xml:space="preserve">6. Roles and Responsibilities </w:t>
      </w:r>
    </w:p>
    <w:tbl>
      <w:tblPr>
        <w:tblStyle w:val="TableGrid"/>
        <w:tblW w:w="0" w:type="auto"/>
        <w:tblLook w:val="04A0" w:firstRow="1" w:lastRow="0" w:firstColumn="1" w:lastColumn="0" w:noHBand="0" w:noVBand="1"/>
      </w:tblPr>
      <w:tblGrid>
        <w:gridCol w:w="2122"/>
        <w:gridCol w:w="6518"/>
      </w:tblGrid>
      <w:tr w:rsidR="00BD547D" w14:paraId="2B3CFAA3" w14:textId="77777777" w:rsidTr="00FD7E02">
        <w:tc>
          <w:tcPr>
            <w:tcW w:w="2122" w:type="dxa"/>
            <w:shd w:val="clear" w:color="auto" w:fill="auto"/>
          </w:tcPr>
          <w:p w14:paraId="3475CC6E" w14:textId="77777777" w:rsidR="00BD547D" w:rsidRPr="00E16E7E" w:rsidRDefault="00BD547D" w:rsidP="00E33150">
            <w:pPr>
              <w:spacing w:after="120"/>
              <w:rPr>
                <w:b/>
                <w:bCs/>
              </w:rPr>
            </w:pPr>
            <w:r w:rsidRPr="00E16E7E">
              <w:rPr>
                <w:b/>
                <w:bCs/>
              </w:rPr>
              <w:t xml:space="preserve">Role </w:t>
            </w:r>
          </w:p>
        </w:tc>
        <w:tc>
          <w:tcPr>
            <w:tcW w:w="6518" w:type="dxa"/>
            <w:shd w:val="clear" w:color="auto" w:fill="auto"/>
          </w:tcPr>
          <w:p w14:paraId="26306FC7" w14:textId="77777777" w:rsidR="00BD547D" w:rsidRPr="00E16E7E" w:rsidRDefault="00BD547D" w:rsidP="00E33150">
            <w:pPr>
              <w:spacing w:after="120"/>
              <w:rPr>
                <w:b/>
                <w:bCs/>
              </w:rPr>
            </w:pPr>
            <w:r w:rsidRPr="00E16E7E">
              <w:rPr>
                <w:b/>
                <w:bCs/>
              </w:rPr>
              <w:t xml:space="preserve">Responsibilities </w:t>
            </w:r>
          </w:p>
        </w:tc>
      </w:tr>
      <w:tr w:rsidR="00BD547D" w14:paraId="70D3FB18" w14:textId="77777777" w:rsidTr="00E33150">
        <w:tc>
          <w:tcPr>
            <w:tcW w:w="2122" w:type="dxa"/>
            <w:vMerge w:val="restart"/>
          </w:tcPr>
          <w:p w14:paraId="5D6814C8" w14:textId="77777777" w:rsidR="00BD547D" w:rsidRDefault="00BD547D" w:rsidP="00E33150">
            <w:pPr>
              <w:pStyle w:val="MPLParapgrah"/>
              <w:spacing w:after="120"/>
            </w:pPr>
            <w:r>
              <w:t xml:space="preserve">Employees </w:t>
            </w:r>
          </w:p>
        </w:tc>
        <w:tc>
          <w:tcPr>
            <w:tcW w:w="6518" w:type="dxa"/>
          </w:tcPr>
          <w:p w14:paraId="7CF22720" w14:textId="77777777" w:rsidR="00BD547D" w:rsidRDefault="00BD547D" w:rsidP="00E33150">
            <w:pPr>
              <w:pStyle w:val="MPLParapgrah"/>
              <w:spacing w:after="120"/>
            </w:pPr>
            <w:r>
              <w:t xml:space="preserve">To submit a true and accurate application for eligible paid leave where they have sufficient accrued unused entitlement to cover the absence. </w:t>
            </w:r>
            <w:r>
              <w:br/>
            </w:r>
          </w:p>
        </w:tc>
      </w:tr>
      <w:tr w:rsidR="00BD547D" w14:paraId="3FE3692B" w14:textId="77777777" w:rsidTr="00E33150">
        <w:tc>
          <w:tcPr>
            <w:tcW w:w="2122" w:type="dxa"/>
            <w:vMerge/>
          </w:tcPr>
          <w:p w14:paraId="0F54CD52" w14:textId="77777777" w:rsidR="00BD547D" w:rsidRDefault="00BD547D" w:rsidP="00E33150">
            <w:pPr>
              <w:pStyle w:val="MPLParapgrah"/>
              <w:spacing w:after="120"/>
            </w:pPr>
          </w:p>
        </w:tc>
        <w:tc>
          <w:tcPr>
            <w:tcW w:w="6518" w:type="dxa"/>
          </w:tcPr>
          <w:p w14:paraId="4355712B" w14:textId="77777777" w:rsidR="00BD547D" w:rsidRDefault="00BD547D" w:rsidP="00E33150">
            <w:pPr>
              <w:pStyle w:val="MPLParapgrah"/>
              <w:spacing w:after="120"/>
            </w:pPr>
            <w:r>
              <w:t>Comply with this policy in relation to their obligations while on leave.</w:t>
            </w:r>
            <w:r>
              <w:br/>
            </w:r>
          </w:p>
        </w:tc>
      </w:tr>
      <w:tr w:rsidR="00BD547D" w14:paraId="03760320" w14:textId="77777777" w:rsidTr="00E33150">
        <w:tc>
          <w:tcPr>
            <w:tcW w:w="2122" w:type="dxa"/>
            <w:vMerge/>
          </w:tcPr>
          <w:p w14:paraId="12467BB4" w14:textId="77777777" w:rsidR="00BD547D" w:rsidRDefault="00BD547D" w:rsidP="00E33150">
            <w:pPr>
              <w:pStyle w:val="MPLParapgrah"/>
              <w:spacing w:after="120"/>
            </w:pPr>
          </w:p>
        </w:tc>
        <w:tc>
          <w:tcPr>
            <w:tcW w:w="6518" w:type="dxa"/>
          </w:tcPr>
          <w:p w14:paraId="35045D24" w14:textId="77777777" w:rsidR="00BD547D" w:rsidRDefault="00BD547D" w:rsidP="00E33150">
            <w:pPr>
              <w:pStyle w:val="MPLParapgrah"/>
              <w:spacing w:after="120"/>
            </w:pPr>
            <w:r>
              <w:t>Take leave when requested by the University or otherwise agreed with the University, in accordance with this policy, the Enterprise Agreement and applicable legislation.</w:t>
            </w:r>
            <w:r>
              <w:br/>
            </w:r>
          </w:p>
        </w:tc>
      </w:tr>
      <w:tr w:rsidR="00BD547D" w14:paraId="5547EE36" w14:textId="77777777" w:rsidTr="00E33150">
        <w:tc>
          <w:tcPr>
            <w:tcW w:w="2122" w:type="dxa"/>
            <w:vMerge w:val="restart"/>
          </w:tcPr>
          <w:p w14:paraId="61629C51" w14:textId="77777777" w:rsidR="00BD547D" w:rsidRDefault="00BD547D" w:rsidP="00E33150">
            <w:pPr>
              <w:pStyle w:val="MPLParapgrah"/>
              <w:spacing w:after="120"/>
            </w:pPr>
            <w:r>
              <w:t>Supervisor or anyone in the reporting line above the supervisor (as a delegate)</w:t>
            </w:r>
          </w:p>
        </w:tc>
        <w:tc>
          <w:tcPr>
            <w:tcW w:w="6518" w:type="dxa"/>
          </w:tcPr>
          <w:p w14:paraId="1F13CA63" w14:textId="77777777" w:rsidR="00BD547D" w:rsidRDefault="00BD547D" w:rsidP="00E33150">
            <w:pPr>
              <w:pStyle w:val="MPLParapgrah"/>
              <w:spacing w:after="120"/>
            </w:pPr>
            <w:r>
              <w:t xml:space="preserve">Approve leave of all types listed in this policy which require approval </w:t>
            </w:r>
            <w:r w:rsidRPr="00181BDA">
              <w:rPr>
                <w:szCs w:val="20"/>
              </w:rPr>
              <w:t xml:space="preserve">(after </w:t>
            </w:r>
            <w:r w:rsidRPr="00E81940">
              <w:rPr>
                <w:color w:val="242424"/>
                <w:szCs w:val="20"/>
                <w:shd w:val="clear" w:color="auto" w:fill="FFFFFF"/>
              </w:rPr>
              <w:t>assessing whether the individual is entitled to take the leave at the time of their application)</w:t>
            </w:r>
            <w:r w:rsidRPr="00181BDA">
              <w:rPr>
                <w:szCs w:val="20"/>
              </w:rPr>
              <w:t xml:space="preserve"> for</w:t>
            </w:r>
            <w:r>
              <w:t xml:space="preserve"> all employees who report directly to them (or who report to their own direct report), unless otherwise specified in legislation or under the prevailing Enterprise Agreement. </w:t>
            </w:r>
            <w:r>
              <w:br/>
            </w:r>
          </w:p>
        </w:tc>
      </w:tr>
      <w:tr w:rsidR="00BD547D" w14:paraId="04AFB450" w14:textId="77777777" w:rsidTr="00E33150">
        <w:tc>
          <w:tcPr>
            <w:tcW w:w="2122" w:type="dxa"/>
            <w:vMerge/>
          </w:tcPr>
          <w:p w14:paraId="438A7AF0" w14:textId="77777777" w:rsidR="00BD547D" w:rsidRDefault="00BD547D" w:rsidP="00E33150">
            <w:pPr>
              <w:pStyle w:val="MPLParapgrah"/>
              <w:spacing w:after="120"/>
            </w:pPr>
          </w:p>
        </w:tc>
        <w:tc>
          <w:tcPr>
            <w:tcW w:w="6518" w:type="dxa"/>
          </w:tcPr>
          <w:p w14:paraId="329B238D" w14:textId="77777777" w:rsidR="00BD547D" w:rsidRDefault="00BD547D" w:rsidP="00E33150">
            <w:pPr>
              <w:pStyle w:val="MPLParapgrah"/>
              <w:spacing w:after="120"/>
            </w:pPr>
            <w:r>
              <w:t>Monitor the employee’s leave and request the employee to take leave where required, in accordance with this policy, the Enterprise Agreement and applicable legislation.</w:t>
            </w:r>
            <w:r>
              <w:br/>
            </w:r>
          </w:p>
        </w:tc>
      </w:tr>
    </w:tbl>
    <w:p w14:paraId="63A51D9A" w14:textId="77777777" w:rsidR="00BD547D" w:rsidRDefault="00BD547D" w:rsidP="00BD547D"/>
    <w:p w14:paraId="506D9428" w14:textId="77777777" w:rsidR="00BD547D" w:rsidRDefault="00BD547D" w:rsidP="00BD547D">
      <w:pPr>
        <w:pStyle w:val="MPLNoNumberingHeadings"/>
      </w:pPr>
      <w:r>
        <w:t>7. Definitions</w:t>
      </w:r>
    </w:p>
    <w:p w14:paraId="16D99C00" w14:textId="77777777" w:rsidR="00BD547D" w:rsidRPr="00DC2779" w:rsidRDefault="00BD547D" w:rsidP="00BD547D">
      <w:pPr>
        <w:pStyle w:val="MPLParapgrah"/>
        <w:rPr>
          <w:szCs w:val="20"/>
        </w:rPr>
      </w:pPr>
      <w:r w:rsidRPr="00DC2779">
        <w:rPr>
          <w:b/>
          <w:szCs w:val="20"/>
        </w:rPr>
        <w:t xml:space="preserve">Australian Aboriginal and/or Torres Strait Islander employee (also referred to as Indigenous employees) </w:t>
      </w:r>
      <w:r w:rsidRPr="00DC2779">
        <w:rPr>
          <w:szCs w:val="20"/>
        </w:rPr>
        <w:t xml:space="preserve">means an employee of Aboriginal or Torres Strait Islander descent who identifies as such, and whose identity as an Indigenous Australian is accepted by the community in which they live and work and with which they are associated. </w:t>
      </w:r>
    </w:p>
    <w:p w14:paraId="35425AD5" w14:textId="77777777" w:rsidR="00BD547D" w:rsidRPr="00DC2779" w:rsidRDefault="00BD547D" w:rsidP="00BD547D">
      <w:pPr>
        <w:pStyle w:val="MPLParapgrah"/>
        <w:rPr>
          <w:szCs w:val="20"/>
        </w:rPr>
      </w:pPr>
      <w:r w:rsidRPr="00DC2779">
        <w:rPr>
          <w:b/>
          <w:szCs w:val="20"/>
        </w:rPr>
        <w:t>Carer</w:t>
      </w:r>
      <w:r w:rsidRPr="00DC2779">
        <w:rPr>
          <w:szCs w:val="20"/>
        </w:rPr>
        <w:t xml:space="preserve">, in the context of carer’s leave, means a person who has temporary or permanent care obligations for a member of their immediate family who requires care. </w:t>
      </w:r>
    </w:p>
    <w:p w14:paraId="4DA36503" w14:textId="77777777" w:rsidR="00BD547D" w:rsidRPr="00DC2779" w:rsidRDefault="00BD547D" w:rsidP="00BD547D">
      <w:pPr>
        <w:pStyle w:val="MPLParapgrah"/>
        <w:rPr>
          <w:szCs w:val="20"/>
        </w:rPr>
      </w:pPr>
      <w:r w:rsidRPr="00DC2779">
        <w:rPr>
          <w:b/>
          <w:szCs w:val="20"/>
        </w:rPr>
        <w:t xml:space="preserve">Child </w:t>
      </w:r>
      <w:r w:rsidRPr="00DC2779">
        <w:rPr>
          <w:szCs w:val="20"/>
        </w:rPr>
        <w:t xml:space="preserve">means, for the purposes of this policy, a child of the employee or the employee’s partner or child born through surrogacy or child placed through adoption or permanent care arrangement (reference to "child" in the singular is inclusive of multiple births). </w:t>
      </w:r>
    </w:p>
    <w:p w14:paraId="1066F072" w14:textId="77777777" w:rsidR="00BD547D" w:rsidRPr="00DC2779" w:rsidRDefault="00BD547D" w:rsidP="00BD547D">
      <w:pPr>
        <w:pStyle w:val="MPLParapgrah"/>
        <w:rPr>
          <w:szCs w:val="20"/>
        </w:rPr>
      </w:pPr>
      <w:r w:rsidRPr="00DC2779">
        <w:rPr>
          <w:b/>
          <w:szCs w:val="20"/>
        </w:rPr>
        <w:t xml:space="preserve">Domestic / family violence </w:t>
      </w:r>
      <w:r w:rsidRPr="00DC2779">
        <w:rPr>
          <w:szCs w:val="20"/>
        </w:rPr>
        <w:t xml:space="preserve">means behaviour by a person towards another person with whom they are or have been in a domestic or family relationship that: </w:t>
      </w:r>
    </w:p>
    <w:p w14:paraId="5822FC69" w14:textId="77777777" w:rsidR="00BD547D" w:rsidRPr="00A93E34" w:rsidRDefault="00BD547D" w:rsidP="005C2D1E">
      <w:pPr>
        <w:pStyle w:val="MPLParagraphlevel2"/>
        <w:numPr>
          <w:ilvl w:val="0"/>
          <w:numId w:val="40"/>
        </w:numPr>
        <w:rPr>
          <w:szCs w:val="20"/>
        </w:rPr>
      </w:pPr>
      <w:r w:rsidRPr="00A93E34">
        <w:rPr>
          <w:szCs w:val="20"/>
        </w:rPr>
        <w:t xml:space="preserve">is physically or sexually abusive; or </w:t>
      </w:r>
    </w:p>
    <w:p w14:paraId="513A2E6C" w14:textId="77777777" w:rsidR="00BD547D" w:rsidRPr="00DC2779" w:rsidRDefault="00BD547D" w:rsidP="0065760E">
      <w:pPr>
        <w:pStyle w:val="MPLParagraphlevel2"/>
        <w:numPr>
          <w:ilvl w:val="0"/>
          <w:numId w:val="40"/>
        </w:numPr>
        <w:rPr>
          <w:szCs w:val="20"/>
        </w:rPr>
      </w:pPr>
      <w:r w:rsidRPr="00DC2779">
        <w:rPr>
          <w:szCs w:val="20"/>
        </w:rPr>
        <w:t xml:space="preserve">is emotionally or psychologically abusive; or </w:t>
      </w:r>
    </w:p>
    <w:p w14:paraId="4013BCC0" w14:textId="77777777" w:rsidR="00BD547D" w:rsidRPr="00DC2779" w:rsidRDefault="00BD547D" w:rsidP="0065760E">
      <w:pPr>
        <w:pStyle w:val="MPLParagraphlevel2"/>
        <w:numPr>
          <w:ilvl w:val="0"/>
          <w:numId w:val="40"/>
        </w:numPr>
        <w:rPr>
          <w:szCs w:val="20"/>
        </w:rPr>
      </w:pPr>
      <w:r w:rsidRPr="00DC2779">
        <w:rPr>
          <w:szCs w:val="20"/>
        </w:rPr>
        <w:t xml:space="preserve">is economically abusive; or </w:t>
      </w:r>
    </w:p>
    <w:p w14:paraId="503CF195" w14:textId="77777777" w:rsidR="00BD547D" w:rsidRPr="00DC2779" w:rsidRDefault="00BD547D" w:rsidP="0065760E">
      <w:pPr>
        <w:pStyle w:val="MPLParagraphlevel2"/>
        <w:numPr>
          <w:ilvl w:val="0"/>
          <w:numId w:val="40"/>
        </w:numPr>
        <w:rPr>
          <w:szCs w:val="20"/>
        </w:rPr>
      </w:pPr>
      <w:r w:rsidRPr="00DC2779">
        <w:rPr>
          <w:szCs w:val="20"/>
        </w:rPr>
        <w:t xml:space="preserve">is threatening; or </w:t>
      </w:r>
    </w:p>
    <w:p w14:paraId="4D0CC72E" w14:textId="77777777" w:rsidR="00BD547D" w:rsidRPr="00DC2779" w:rsidRDefault="00BD547D" w:rsidP="0065760E">
      <w:pPr>
        <w:pStyle w:val="MPLParagraphlevel2"/>
        <w:numPr>
          <w:ilvl w:val="0"/>
          <w:numId w:val="40"/>
        </w:numPr>
        <w:rPr>
          <w:szCs w:val="20"/>
        </w:rPr>
      </w:pPr>
      <w:r w:rsidRPr="00DC2779">
        <w:rPr>
          <w:szCs w:val="20"/>
        </w:rPr>
        <w:t xml:space="preserve">is coercive; or </w:t>
      </w:r>
    </w:p>
    <w:p w14:paraId="7E4218AF" w14:textId="77777777" w:rsidR="00BD547D" w:rsidRPr="00DC2779" w:rsidRDefault="00BD547D" w:rsidP="0065760E">
      <w:pPr>
        <w:pStyle w:val="MPLParagraphlevel2"/>
        <w:numPr>
          <w:ilvl w:val="0"/>
          <w:numId w:val="40"/>
        </w:numPr>
        <w:rPr>
          <w:szCs w:val="20"/>
        </w:rPr>
      </w:pPr>
      <w:r w:rsidRPr="00DC2779">
        <w:rPr>
          <w:szCs w:val="20"/>
        </w:rPr>
        <w:t xml:space="preserve">in any other way controls or dominates the second person and causes the second person to fear for the second person’s safety or wellbeing or that of someone else. </w:t>
      </w:r>
    </w:p>
    <w:p w14:paraId="48B9DDC5" w14:textId="77777777" w:rsidR="00BD547D" w:rsidRPr="00DC2779" w:rsidRDefault="00BD547D" w:rsidP="00BD547D">
      <w:pPr>
        <w:pStyle w:val="MPLParapgrah"/>
        <w:rPr>
          <w:rFonts w:eastAsia="Calibri"/>
          <w:color w:val="000000" w:themeColor="text1"/>
          <w:szCs w:val="20"/>
        </w:rPr>
      </w:pPr>
      <w:r w:rsidRPr="00DC2779">
        <w:rPr>
          <w:rStyle w:val="cf01"/>
          <w:b/>
          <w:bCs/>
          <w:szCs w:val="20"/>
        </w:rPr>
        <w:lastRenderedPageBreak/>
        <w:t>Enterprise Agreement</w:t>
      </w:r>
      <w:r w:rsidRPr="00DC2779">
        <w:rPr>
          <w:rStyle w:val="cf01"/>
          <w:szCs w:val="20"/>
        </w:rPr>
        <w:t xml:space="preserve"> means the University of Melbourne Enterprise Agreement 2024.</w:t>
      </w:r>
    </w:p>
    <w:p w14:paraId="1D7DB37F" w14:textId="77777777" w:rsidR="00BD547D" w:rsidRPr="00DC2779" w:rsidRDefault="00BD547D" w:rsidP="00BD547D">
      <w:pPr>
        <w:pStyle w:val="MPLParapgrah"/>
        <w:rPr>
          <w:szCs w:val="20"/>
        </w:rPr>
      </w:pPr>
      <w:r w:rsidRPr="00DC2779">
        <w:rPr>
          <w:b/>
          <w:szCs w:val="20"/>
        </w:rPr>
        <w:t xml:space="preserve">Excessive leave balances </w:t>
      </w:r>
      <w:r w:rsidRPr="00DC2779">
        <w:rPr>
          <w:szCs w:val="20"/>
        </w:rPr>
        <w:t xml:space="preserve">means: </w:t>
      </w:r>
    </w:p>
    <w:p w14:paraId="51191CBF" w14:textId="77777777" w:rsidR="005C2D1E" w:rsidRDefault="00BD547D" w:rsidP="00BD547D">
      <w:pPr>
        <w:pStyle w:val="MPLParagraphlevel2"/>
        <w:numPr>
          <w:ilvl w:val="3"/>
          <w:numId w:val="3"/>
        </w:numPr>
        <w:rPr>
          <w:szCs w:val="20"/>
        </w:rPr>
      </w:pPr>
      <w:r w:rsidRPr="00DC2779">
        <w:rPr>
          <w:szCs w:val="20"/>
        </w:rPr>
        <w:t xml:space="preserve">balances over six weeks (30 days) for annual leave; and </w:t>
      </w:r>
    </w:p>
    <w:p w14:paraId="311FC659" w14:textId="757CD58B" w:rsidR="00BD547D" w:rsidRPr="005C2D1E" w:rsidRDefault="00BD547D" w:rsidP="00BD547D">
      <w:pPr>
        <w:pStyle w:val="MPLParagraphlevel2"/>
        <w:numPr>
          <w:ilvl w:val="3"/>
          <w:numId w:val="3"/>
        </w:numPr>
        <w:rPr>
          <w:szCs w:val="20"/>
        </w:rPr>
      </w:pPr>
      <w:r w:rsidRPr="005C2D1E">
        <w:rPr>
          <w:szCs w:val="20"/>
        </w:rPr>
        <w:t xml:space="preserve">balances over 19.5 weeks for long service leave. </w:t>
      </w:r>
    </w:p>
    <w:p w14:paraId="2B0923B8" w14:textId="77777777" w:rsidR="00BD547D" w:rsidRPr="00DC2779" w:rsidRDefault="00BD547D" w:rsidP="00BD547D">
      <w:pPr>
        <w:pStyle w:val="MPLParapgrah"/>
        <w:rPr>
          <w:szCs w:val="20"/>
        </w:rPr>
      </w:pPr>
      <w:r w:rsidRPr="00DC2779">
        <w:rPr>
          <w:b/>
          <w:szCs w:val="20"/>
        </w:rPr>
        <w:t xml:space="preserve">Immediate family </w:t>
      </w:r>
      <w:r w:rsidRPr="00DC2779">
        <w:rPr>
          <w:szCs w:val="20"/>
        </w:rPr>
        <w:t xml:space="preserve">means, for the purpose of this policy (without assigning gender) a spouse, former spouse, de facto partner, former de facto partner, child, parent, grandparent, grandchild or sibling of an employee; or a child, parent, grandparent, grandchild or sibling of the employee’s spouse, former spouse or de facto partner. For Aboriginal and Torres Strait Islander employees, “immediate family” extends to Kinship for the purpose of Carer’s Leave or Compassionate Leave. </w:t>
      </w:r>
    </w:p>
    <w:p w14:paraId="18AC0617" w14:textId="77777777" w:rsidR="00BD547D" w:rsidRPr="00DC2779" w:rsidRDefault="00BD547D" w:rsidP="00BD547D">
      <w:pPr>
        <w:pStyle w:val="MPLParapgrah"/>
        <w:rPr>
          <w:szCs w:val="20"/>
        </w:rPr>
      </w:pPr>
      <w:r w:rsidRPr="00DC2779">
        <w:rPr>
          <w:b/>
          <w:szCs w:val="20"/>
        </w:rPr>
        <w:t xml:space="preserve">Infectious Diseases </w:t>
      </w:r>
      <w:r w:rsidRPr="00DC2779">
        <w:rPr>
          <w:szCs w:val="20"/>
        </w:rPr>
        <w:t xml:space="preserve">means, for the purposes of this policy, a specified viral, bacterial or other disease as per the list provided in Schedule 7 of the </w:t>
      </w:r>
      <w:r w:rsidRPr="00DC2779">
        <w:rPr>
          <w:i/>
          <w:iCs/>
          <w:szCs w:val="20"/>
        </w:rPr>
        <w:t xml:space="preserve">Public Health and Wellbeing Regulations 2019 </w:t>
      </w:r>
      <w:r w:rsidRPr="00DC2779">
        <w:rPr>
          <w:szCs w:val="20"/>
        </w:rPr>
        <w:t xml:space="preserve">(Vic) that can be spread, directly or indirectly, from one person to another, via casual contact or proximity. </w:t>
      </w:r>
    </w:p>
    <w:p w14:paraId="1A725555" w14:textId="77777777" w:rsidR="00BD547D" w:rsidRPr="00DC2779" w:rsidRDefault="00BD547D" w:rsidP="00BD547D">
      <w:pPr>
        <w:pStyle w:val="MPLParapgrah"/>
        <w:rPr>
          <w:szCs w:val="20"/>
        </w:rPr>
      </w:pPr>
      <w:r w:rsidRPr="00DC2779">
        <w:rPr>
          <w:b/>
          <w:szCs w:val="20"/>
        </w:rPr>
        <w:t xml:space="preserve">NES </w:t>
      </w:r>
      <w:r w:rsidRPr="00DC2779">
        <w:rPr>
          <w:szCs w:val="20"/>
        </w:rPr>
        <w:t xml:space="preserve">means the National Employment Standards in the </w:t>
      </w:r>
      <w:r w:rsidRPr="00DC2779">
        <w:rPr>
          <w:i/>
          <w:szCs w:val="20"/>
        </w:rPr>
        <w:t xml:space="preserve">Fair Work Act 2009 </w:t>
      </w:r>
      <w:r w:rsidRPr="00DC2779">
        <w:rPr>
          <w:szCs w:val="20"/>
        </w:rPr>
        <w:t>(</w:t>
      </w:r>
      <w:proofErr w:type="spellStart"/>
      <w:r w:rsidRPr="00DC2779">
        <w:rPr>
          <w:szCs w:val="20"/>
        </w:rPr>
        <w:t>Cth</w:t>
      </w:r>
      <w:proofErr w:type="spellEnd"/>
      <w:r w:rsidRPr="00DC2779">
        <w:rPr>
          <w:szCs w:val="20"/>
        </w:rPr>
        <w:t xml:space="preserve">). </w:t>
      </w:r>
    </w:p>
    <w:p w14:paraId="2F406177" w14:textId="77777777" w:rsidR="00BD547D" w:rsidRPr="00DC2779" w:rsidRDefault="00BD547D" w:rsidP="00BD547D">
      <w:pPr>
        <w:pStyle w:val="MPLParapgrah"/>
        <w:rPr>
          <w:szCs w:val="20"/>
        </w:rPr>
      </w:pPr>
      <w:r w:rsidRPr="00DC2779">
        <w:rPr>
          <w:b/>
          <w:szCs w:val="20"/>
        </w:rPr>
        <w:t xml:space="preserve">Partner </w:t>
      </w:r>
      <w:r w:rsidRPr="00DC2779">
        <w:rPr>
          <w:szCs w:val="20"/>
        </w:rPr>
        <w:t xml:space="preserve">means a person of the opposite or same sex who lives with an employee on a bona fide domestic basis although they may not be legally married to that person (including a former spouse, a de facto spouse and a former de facto spouse). </w:t>
      </w:r>
    </w:p>
    <w:p w14:paraId="53E7E5ED" w14:textId="77777777" w:rsidR="00BD547D" w:rsidRPr="00DC2779" w:rsidRDefault="00BD547D" w:rsidP="00BD547D">
      <w:pPr>
        <w:pStyle w:val="MPLParapgrah"/>
        <w:rPr>
          <w:szCs w:val="20"/>
        </w:rPr>
      </w:pPr>
      <w:r w:rsidRPr="00DC2779">
        <w:rPr>
          <w:b/>
          <w:szCs w:val="20"/>
        </w:rPr>
        <w:t xml:space="preserve">Permanent Care </w:t>
      </w:r>
      <w:r w:rsidRPr="00DC2779">
        <w:rPr>
          <w:szCs w:val="20"/>
        </w:rPr>
        <w:t xml:space="preserve">means an arrangement where a child is placed through a Permanent Care Program by the Department of Human Services. </w:t>
      </w:r>
    </w:p>
    <w:p w14:paraId="026C8AD2" w14:textId="77777777" w:rsidR="00BD547D" w:rsidRPr="00DC2779" w:rsidRDefault="00BD547D" w:rsidP="00BD547D">
      <w:pPr>
        <w:pStyle w:val="MPLParapgrah"/>
        <w:rPr>
          <w:szCs w:val="20"/>
        </w:rPr>
      </w:pPr>
      <w:r w:rsidRPr="00DC2779">
        <w:rPr>
          <w:b/>
          <w:szCs w:val="20"/>
        </w:rPr>
        <w:t xml:space="preserve">Primary caregiver </w:t>
      </w:r>
      <w:r w:rsidRPr="00DC2779">
        <w:rPr>
          <w:szCs w:val="20"/>
        </w:rPr>
        <w:t xml:space="preserve">in the context of parental leave means a person who assumes the principal role of providing care and attention to a child. </w:t>
      </w:r>
    </w:p>
    <w:p w14:paraId="191645FA" w14:textId="77777777" w:rsidR="00BD547D" w:rsidRPr="00DC2779" w:rsidRDefault="00BD547D" w:rsidP="00BD547D">
      <w:pPr>
        <w:pStyle w:val="MPLParapgrah"/>
        <w:rPr>
          <w:szCs w:val="20"/>
        </w:rPr>
      </w:pPr>
      <w:r w:rsidRPr="00DC2779">
        <w:rPr>
          <w:b/>
          <w:szCs w:val="20"/>
        </w:rPr>
        <w:t xml:space="preserve">University </w:t>
      </w:r>
      <w:r w:rsidRPr="00DC2779">
        <w:rPr>
          <w:szCs w:val="20"/>
        </w:rPr>
        <w:t xml:space="preserve">means the University of Melbourne, which is a national system employer within the meaning of the </w:t>
      </w:r>
      <w:r w:rsidRPr="00DC2779">
        <w:rPr>
          <w:i/>
          <w:szCs w:val="20"/>
        </w:rPr>
        <w:t xml:space="preserve">Fair Work Act 2009 </w:t>
      </w:r>
      <w:r w:rsidRPr="00DC2779">
        <w:rPr>
          <w:szCs w:val="20"/>
        </w:rPr>
        <w:t>(</w:t>
      </w:r>
      <w:proofErr w:type="spellStart"/>
      <w:r w:rsidRPr="00DC2779">
        <w:rPr>
          <w:szCs w:val="20"/>
        </w:rPr>
        <w:t>Cth</w:t>
      </w:r>
      <w:proofErr w:type="spellEnd"/>
      <w:r w:rsidRPr="00DC2779">
        <w:rPr>
          <w:szCs w:val="20"/>
        </w:rPr>
        <w:t xml:space="preserve">). In this Policy, University has the same meaning as employer or organisation. </w:t>
      </w:r>
    </w:p>
    <w:p w14:paraId="06873755" w14:textId="77777777" w:rsidR="00BD547D" w:rsidRPr="00DC2779" w:rsidRDefault="00BD547D" w:rsidP="00BD547D">
      <w:pPr>
        <w:pStyle w:val="MPLParapgrah"/>
        <w:rPr>
          <w:szCs w:val="20"/>
        </w:rPr>
      </w:pPr>
      <w:r w:rsidRPr="00DC2779">
        <w:rPr>
          <w:b/>
          <w:szCs w:val="20"/>
        </w:rPr>
        <w:t xml:space="preserve">Volunteer Organisation </w:t>
      </w:r>
      <w:r w:rsidRPr="00DC2779">
        <w:rPr>
          <w:szCs w:val="20"/>
        </w:rPr>
        <w:t xml:space="preserve">means a not for profit organisation, non-governmental organisation, charity or social enterprise. </w:t>
      </w:r>
    </w:p>
    <w:p w14:paraId="0C626224" w14:textId="77777777" w:rsidR="00BD547D" w:rsidRPr="00DC2779" w:rsidRDefault="00BD547D" w:rsidP="00BD547D">
      <w:pPr>
        <w:pStyle w:val="MPLParapgrah"/>
        <w:rPr>
          <w:szCs w:val="20"/>
        </w:rPr>
      </w:pPr>
      <w:r w:rsidRPr="00DC2779">
        <w:rPr>
          <w:b/>
          <w:szCs w:val="20"/>
        </w:rPr>
        <w:t xml:space="preserve">Volunteer Service </w:t>
      </w:r>
      <w:r w:rsidRPr="00DC2779">
        <w:rPr>
          <w:szCs w:val="20"/>
        </w:rPr>
        <w:t xml:space="preserve">means work performed for a Volunteer Organisation that: </w:t>
      </w:r>
    </w:p>
    <w:p w14:paraId="2E6A3A75" w14:textId="77777777" w:rsidR="005C2D1E" w:rsidRDefault="00BD547D" w:rsidP="00BD547D">
      <w:pPr>
        <w:pStyle w:val="MPLParagraphlevel2"/>
        <w:numPr>
          <w:ilvl w:val="3"/>
          <w:numId w:val="2"/>
        </w:numPr>
        <w:rPr>
          <w:szCs w:val="20"/>
        </w:rPr>
      </w:pPr>
      <w:r w:rsidRPr="00DC2779">
        <w:rPr>
          <w:szCs w:val="20"/>
        </w:rPr>
        <w:t xml:space="preserve">does not involve any payment in cash or kind for work performed; and </w:t>
      </w:r>
    </w:p>
    <w:p w14:paraId="1C6D25C6" w14:textId="2F280C3D" w:rsidR="00BD547D" w:rsidRPr="005C2D1E" w:rsidRDefault="00BD547D" w:rsidP="00BD547D">
      <w:pPr>
        <w:pStyle w:val="MPLParagraphlevel2"/>
        <w:numPr>
          <w:ilvl w:val="3"/>
          <w:numId w:val="2"/>
        </w:numPr>
        <w:rPr>
          <w:szCs w:val="20"/>
        </w:rPr>
      </w:pPr>
      <w:r w:rsidRPr="005C2D1E">
        <w:rPr>
          <w:szCs w:val="20"/>
        </w:rPr>
        <w:t xml:space="preserve">does not create a conflict of interest with the employee’s employment with the University. </w:t>
      </w:r>
    </w:p>
    <w:p w14:paraId="224EE370" w14:textId="77777777" w:rsidR="00BD547D" w:rsidRDefault="00BD547D" w:rsidP="00BD547D">
      <w:pPr>
        <w:pStyle w:val="MPLNoNumberingHeadings"/>
      </w:pPr>
      <w:r>
        <w:t xml:space="preserve">POLICY APPROVER </w:t>
      </w:r>
    </w:p>
    <w:p w14:paraId="4778169B" w14:textId="77777777" w:rsidR="00BD547D" w:rsidRDefault="00BD547D" w:rsidP="00BD547D">
      <w:pPr>
        <w:pStyle w:val="MPLParapgrah"/>
      </w:pPr>
      <w:r>
        <w:t xml:space="preserve">Deputy Vice-Chancellor (People &amp; Community) </w:t>
      </w:r>
    </w:p>
    <w:p w14:paraId="650806C2" w14:textId="77777777" w:rsidR="00BD547D" w:rsidRDefault="00BD547D" w:rsidP="00BD547D">
      <w:pPr>
        <w:pStyle w:val="MPLNoNumberingHeadings"/>
      </w:pPr>
      <w:r>
        <w:t xml:space="preserve">POLICY STEWARD </w:t>
      </w:r>
    </w:p>
    <w:p w14:paraId="7FF82121" w14:textId="77777777" w:rsidR="00BD547D" w:rsidRDefault="00BD547D" w:rsidP="00BD547D">
      <w:pPr>
        <w:pStyle w:val="MPLParapgrah"/>
      </w:pPr>
      <w:r>
        <w:t>Chief People Officer</w:t>
      </w:r>
    </w:p>
    <w:p w14:paraId="6D1BFB54" w14:textId="77777777" w:rsidR="00BD547D" w:rsidRDefault="00BD547D" w:rsidP="00BD547D">
      <w:pPr>
        <w:pStyle w:val="MPLNoNumberingHeadings"/>
      </w:pPr>
      <w:r>
        <w:t xml:space="preserve">REVIEW </w:t>
      </w:r>
    </w:p>
    <w:p w14:paraId="6585A798" w14:textId="5756469A" w:rsidR="00BD547D" w:rsidRDefault="00BD547D" w:rsidP="00BD547D">
      <w:pPr>
        <w:pStyle w:val="MPLParapgrah"/>
      </w:pPr>
      <w:r>
        <w:t xml:space="preserve">This policy is to be reviewed by </w:t>
      </w:r>
      <w:r w:rsidR="005E2D46">
        <w:t>2</w:t>
      </w:r>
      <w:r>
        <w:t xml:space="preserve"> September 202</w:t>
      </w:r>
      <w:r w:rsidR="006103ED">
        <w:t>7</w:t>
      </w:r>
      <w: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05"/>
        <w:gridCol w:w="1805"/>
        <w:gridCol w:w="1805"/>
        <w:gridCol w:w="1805"/>
        <w:gridCol w:w="1805"/>
      </w:tblGrid>
      <w:tr>
        <w:tc>
          <w:tcPr>
            <w:tcW w:type="dxa" w:w="1805"/>
          </w:tcPr>
          <w:p>
            <w:r>
              <w:rPr>
                <w:b/>
              </w:rPr>
              <w:t xml:space="preserve">Version </w:t>
            </w:r>
          </w:p>
        </w:tc>
        <w:tc>
          <w:tcPr>
            <w:tcW w:type="dxa" w:w="1805"/>
          </w:tcPr>
          <w:p>
            <w:r>
              <w:rPr>
                <w:b/>
              </w:rPr>
              <w:t xml:space="preserve">Approved By </w:t>
            </w:r>
          </w:p>
        </w:tc>
        <w:tc>
          <w:tcPr>
            <w:tcW w:type="dxa" w:w="1805"/>
          </w:tcPr>
          <w:p>
            <w:r>
              <w:rPr>
                <w:b/>
              </w:rPr>
              <w:t xml:space="preserve">Approval Date </w:t>
            </w:r>
          </w:p>
        </w:tc>
        <w:tc>
          <w:tcPr>
            <w:tcW w:type="dxa" w:w="1805"/>
          </w:tcPr>
          <w:p>
            <w:r>
              <w:rPr>
                <w:b/>
              </w:rPr>
              <w:t xml:space="preserve">Effective Date </w:t>
            </w:r>
          </w:p>
        </w:tc>
        <w:tc>
          <w:tcPr>
            <w:tcW w:type="dxa" w:w="1805"/>
          </w:tcPr>
          <w:p>
            <w:r>
              <w:rPr>
                <w:b/>
              </w:rPr>
              <w:t xml:space="preserve">Sections Modified </w:t>
            </w:r>
          </w:p>
        </w:tc>
      </w:tr>
      <w:tr>
        <w:tc>
          <w:tcPr>
            <w:tcW w:type="dxa" w:w="1805"/>
          </w:tcPr>
          <w:p>
            <w:r>
              <w:t xml:space="preserve">1 </w:t>
            </w:r>
          </w:p>
        </w:tc>
        <w:tc>
          <w:tcPr>
            <w:tcW w:type="dxa" w:w="1805"/>
          </w:tcPr>
          <w:p>
            <w:r>
              <w:t xml:space="preserve">Vice-President (Strategy &amp; Culture) </w:t>
            </w:r>
          </w:p>
        </w:tc>
        <w:tc>
          <w:tcPr>
            <w:tcW w:type="dxa" w:w="1805"/>
          </w:tcPr>
          <w:p>
            <w:r>
              <w:t xml:space="preserve">20 September 2019 </w:t>
            </w:r>
          </w:p>
        </w:tc>
        <w:tc>
          <w:tcPr>
            <w:tcW w:type="dxa" w:w="1805"/>
          </w:tcPr>
          <w:p>
            <w:r>
              <w:t xml:space="preserve">10 October 2019 </w:t>
            </w:r>
          </w:p>
        </w:tc>
        <w:tc>
          <w:tcPr>
            <w:tcW w:type="dxa" w:w="1805"/>
          </w:tcPr>
          <w:p>
            <w:r/>
          </w:p>
          <w:p>
            <w:r/>
            <w:r/>
            <w:r>
              <w:rPr>
                <w:color w:val="212121"/>
                <w:highlight w:val="lightGray"/>
              </w:rPr>
              <w:t xml:space="preserve">New Leave Policy arising from the Policy Consolidation Project </w:t>
            </w:r>
            <w:r/>
            <w:r/>
          </w:p>
        </w:tc>
      </w:tr>
      <w:tr>
        <w:tc>
          <w:tcPr>
            <w:tcW w:type="dxa" w:w="1805"/>
          </w:tcPr>
          <w:p>
            <w:r>
              <w:t xml:space="preserve">2 </w:t>
            </w:r>
          </w:p>
        </w:tc>
        <w:tc>
          <w:tcPr>
            <w:tcW w:type="dxa" w:w="1805"/>
          </w:tcPr>
          <w:p>
            <w:r>
              <w:t xml:space="preserve">Vice-President (Strategy &amp; Culture) </w:t>
            </w:r>
          </w:p>
        </w:tc>
        <w:tc>
          <w:tcPr>
            <w:tcW w:type="dxa" w:w="1805"/>
          </w:tcPr>
          <w:p>
            <w:r>
              <w:t xml:space="preserve">22 July 2020 </w:t>
            </w:r>
          </w:p>
        </w:tc>
        <w:tc>
          <w:tcPr>
            <w:tcW w:type="dxa" w:w="1805"/>
          </w:tcPr>
          <w:p>
            <w:r>
              <w:t xml:space="preserve">24 July 2020 </w:t>
            </w:r>
          </w:p>
        </w:tc>
        <w:tc>
          <w:tcPr>
            <w:tcW w:type="dxa" w:w="1805"/>
          </w:tcPr>
          <w:p>
            <w:r/>
          </w:p>
          <w:p>
            <w:r/>
            <w:r>
              <w:t xml:space="preserve">Typographical amendment to section 7.3 </w:t>
              <w:br/>
            </w:r>
            <w:r>
              <w:t xml:space="preserve">Addition of section 7.8 </w:t>
            </w:r>
            <w:r/>
          </w:p>
        </w:tc>
      </w:tr>
      <w:tr>
        <w:tc>
          <w:tcPr>
            <w:tcW w:type="dxa" w:w="1805"/>
          </w:tcPr>
          <w:p>
            <w:r>
              <w:t xml:space="preserve">3 </w:t>
            </w:r>
          </w:p>
        </w:tc>
        <w:tc>
          <w:tcPr>
            <w:tcW w:type="dxa" w:w="1805"/>
          </w:tcPr>
          <w:p>
            <w:r>
              <w:t xml:space="preserve">Policy Officer </w:t>
            </w:r>
          </w:p>
        </w:tc>
        <w:tc>
          <w:tcPr>
            <w:tcW w:type="dxa" w:w="1805"/>
          </w:tcPr>
          <w:p>
            <w:r>
              <w:t xml:space="preserve">31 May 2022 </w:t>
            </w:r>
          </w:p>
        </w:tc>
        <w:tc>
          <w:tcPr>
            <w:tcW w:type="dxa" w:w="1805"/>
          </w:tcPr>
          <w:p>
            <w:r>
              <w:t xml:space="preserve">31 May 2022 </w:t>
            </w:r>
          </w:p>
        </w:tc>
        <w:tc>
          <w:tcPr>
            <w:tcW w:type="dxa" w:w="1805"/>
          </w:tcPr>
          <w:p>
            <w:r/>
          </w:p>
          <w:p>
            <w:r/>
            <w:r>
              <w:t xml:space="preserve">Changed Policy Approver. </w:t>
            </w:r>
            <w:r/>
          </w:p>
        </w:tc>
      </w:tr>
      <w:tr>
        <w:tc>
          <w:tcPr>
            <w:tcW w:type="dxa" w:w="1805"/>
          </w:tcPr>
          <w:p>
            <w:r>
              <w:t xml:space="preserve">4 </w:t>
            </w:r>
          </w:p>
        </w:tc>
        <w:tc>
          <w:tcPr>
            <w:tcW w:type="dxa" w:w="1805"/>
          </w:tcPr>
          <w:p>
            <w:r>
              <w:t xml:space="preserve">Policy Officer </w:t>
            </w:r>
          </w:p>
        </w:tc>
        <w:tc>
          <w:tcPr>
            <w:tcW w:type="dxa" w:w="1805"/>
          </w:tcPr>
          <w:p>
            <w:r>
              <w:t xml:space="preserve">31 May 2022 </w:t>
            </w:r>
          </w:p>
        </w:tc>
        <w:tc>
          <w:tcPr>
            <w:tcW w:type="dxa" w:w="1805"/>
          </w:tcPr>
          <w:p>
            <w:r>
              <w:t xml:space="preserve">31 May 2022 </w:t>
            </w:r>
          </w:p>
        </w:tc>
        <w:tc>
          <w:tcPr>
            <w:tcW w:type="dxa" w:w="1805"/>
          </w:tcPr>
          <w:p>
            <w:r/>
          </w:p>
          <w:p>
            <w:r/>
            <w:r>
              <w:t xml:space="preserve">Added missing change for policy approver change. </w:t>
            </w:r>
            <w:r/>
          </w:p>
        </w:tc>
      </w:tr>
      <w:tr>
        <w:tc>
          <w:tcPr>
            <w:tcW w:type="dxa" w:w="1805"/>
          </w:tcPr>
          <w:p>
            <w:r>
              <w:t xml:space="preserve">5 </w:t>
            </w:r>
          </w:p>
        </w:tc>
        <w:tc>
          <w:tcPr>
            <w:tcW w:type="dxa" w:w="1805"/>
          </w:tcPr>
          <w:p>
            <w:r>
              <w:t xml:space="preserve">Chief People Officer </w:t>
            </w:r>
          </w:p>
        </w:tc>
        <w:tc>
          <w:tcPr>
            <w:tcW w:type="dxa" w:w="1805"/>
          </w:tcPr>
          <w:p>
            <w:r>
              <w:t xml:space="preserve">23 August 2024 </w:t>
            </w:r>
          </w:p>
        </w:tc>
        <w:tc>
          <w:tcPr>
            <w:tcW w:type="dxa" w:w="1805"/>
          </w:tcPr>
          <w:p>
            <w:r>
              <w:t xml:space="preserve">2 September 2024 </w:t>
            </w:r>
          </w:p>
        </w:tc>
        <w:tc>
          <w:tcPr>
            <w:tcW w:type="dxa" w:w="1805"/>
          </w:tcPr>
          <w:p>
            <w:r/>
          </w:p>
          <w:p>
            <w:r/>
            <w:r>
              <w:t xml:space="preserve">Updated to align with the University of Melbourne Enterprise Agreement 2024 </w:t>
            </w:r>
            <w:r/>
          </w:p>
        </w:tc>
      </w:tr>
      <w:tr>
        <w:tc>
          <w:tcPr>
            <w:tcW w:type="dxa" w:w="1805"/>
          </w:tcPr>
          <w:p>
            <w:r>
              <w:t xml:space="preserve">6 </w:t>
            </w:r>
          </w:p>
        </w:tc>
        <w:tc>
          <w:tcPr>
            <w:tcW w:type="dxa" w:w="1805"/>
          </w:tcPr>
          <w:p>
            <w:r>
              <w:t xml:space="preserve">Chief People Officer </w:t>
            </w:r>
          </w:p>
        </w:tc>
        <w:tc>
          <w:tcPr>
            <w:tcW w:type="dxa" w:w="1805"/>
          </w:tcPr>
          <w:p>
            <w:r>
              <w:t xml:space="preserve">23 August 2024 </w:t>
            </w:r>
          </w:p>
        </w:tc>
        <w:tc>
          <w:tcPr>
            <w:tcW w:type="dxa" w:w="1805"/>
          </w:tcPr>
          <w:p>
            <w:r>
              <w:t xml:space="preserve">2 September 2024 </w:t>
            </w:r>
          </w:p>
        </w:tc>
        <w:tc>
          <w:tcPr>
            <w:tcW w:type="dxa" w:w="1805"/>
          </w:tcPr>
          <w:p>
            <w:r/>
          </w:p>
          <w:p>
            <w:r/>
            <w:r/>
            <w:r>
              <w:rPr>
                <w:color w:val="2D2D2D"/>
                <w:highlight w:val="lightGray"/>
              </w:rPr>
              <w:t xml:space="preserve">Updated to align with the University of Melbourne Enterprise Agreement 2024 </w:t>
            </w:r>
            <w:r/>
            <w:r/>
          </w:p>
        </w:tc>
      </w:tr>
    </w:tbl>
    <w:p>
      <w:r/>
    </w:p>
    <w:sectPr w:rsidR="00BD547D" w:rsidSect="00BD5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0F88"/>
    <w:multiLevelType w:val="hybridMultilevel"/>
    <w:tmpl w:val="7AA214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611BA"/>
    <w:multiLevelType w:val="hybridMultilevel"/>
    <w:tmpl w:val="C9AA0B68"/>
    <w:lvl w:ilvl="0" w:tplc="DF3226DE">
      <w:start w:val="1"/>
      <w:numFmt w:val="bullet"/>
      <w:lvlText w:val=""/>
      <w:lvlJc w:val="left"/>
      <w:pPr>
        <w:ind w:left="916" w:hanging="360"/>
      </w:pPr>
      <w:rPr>
        <w:rFonts w:ascii="Symbol" w:hAnsi="Symbol" w:hint="default"/>
        <w:b/>
        <w:bCs/>
      </w:rPr>
    </w:lvl>
    <w:lvl w:ilvl="1" w:tplc="0C090003" w:tentative="1">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356" w:hanging="360"/>
      </w:pPr>
      <w:rPr>
        <w:rFonts w:ascii="Wingdings" w:hAnsi="Wingdings" w:hint="default"/>
      </w:rPr>
    </w:lvl>
    <w:lvl w:ilvl="3" w:tplc="0C090001" w:tentative="1">
      <w:start w:val="1"/>
      <w:numFmt w:val="bullet"/>
      <w:lvlText w:val=""/>
      <w:lvlJc w:val="left"/>
      <w:pPr>
        <w:ind w:left="3076" w:hanging="360"/>
      </w:pPr>
      <w:rPr>
        <w:rFonts w:ascii="Symbol" w:hAnsi="Symbol" w:hint="default"/>
      </w:rPr>
    </w:lvl>
    <w:lvl w:ilvl="4" w:tplc="0C090003" w:tentative="1">
      <w:start w:val="1"/>
      <w:numFmt w:val="bullet"/>
      <w:lvlText w:val="o"/>
      <w:lvlJc w:val="left"/>
      <w:pPr>
        <w:ind w:left="3796" w:hanging="360"/>
      </w:pPr>
      <w:rPr>
        <w:rFonts w:ascii="Courier New" w:hAnsi="Courier New" w:cs="Courier New" w:hint="default"/>
      </w:rPr>
    </w:lvl>
    <w:lvl w:ilvl="5" w:tplc="0C090005" w:tentative="1">
      <w:start w:val="1"/>
      <w:numFmt w:val="bullet"/>
      <w:lvlText w:val=""/>
      <w:lvlJc w:val="left"/>
      <w:pPr>
        <w:ind w:left="4516" w:hanging="360"/>
      </w:pPr>
      <w:rPr>
        <w:rFonts w:ascii="Wingdings" w:hAnsi="Wingdings" w:hint="default"/>
      </w:rPr>
    </w:lvl>
    <w:lvl w:ilvl="6" w:tplc="0C090001" w:tentative="1">
      <w:start w:val="1"/>
      <w:numFmt w:val="bullet"/>
      <w:lvlText w:val=""/>
      <w:lvlJc w:val="left"/>
      <w:pPr>
        <w:ind w:left="5236" w:hanging="360"/>
      </w:pPr>
      <w:rPr>
        <w:rFonts w:ascii="Symbol" w:hAnsi="Symbol" w:hint="default"/>
      </w:rPr>
    </w:lvl>
    <w:lvl w:ilvl="7" w:tplc="0C090003" w:tentative="1">
      <w:start w:val="1"/>
      <w:numFmt w:val="bullet"/>
      <w:lvlText w:val="o"/>
      <w:lvlJc w:val="left"/>
      <w:pPr>
        <w:ind w:left="5956" w:hanging="360"/>
      </w:pPr>
      <w:rPr>
        <w:rFonts w:ascii="Courier New" w:hAnsi="Courier New" w:cs="Courier New" w:hint="default"/>
      </w:rPr>
    </w:lvl>
    <w:lvl w:ilvl="8" w:tplc="0C090005" w:tentative="1">
      <w:start w:val="1"/>
      <w:numFmt w:val="bullet"/>
      <w:lvlText w:val=""/>
      <w:lvlJc w:val="left"/>
      <w:pPr>
        <w:ind w:left="6676" w:hanging="360"/>
      </w:pPr>
      <w:rPr>
        <w:rFonts w:ascii="Wingdings" w:hAnsi="Wingdings" w:hint="default"/>
      </w:rPr>
    </w:lvl>
  </w:abstractNum>
  <w:abstractNum w:abstractNumId="2" w15:restartNumberingAfterBreak="0">
    <w:nsid w:val="0BD34CF1"/>
    <w:multiLevelType w:val="hybridMultilevel"/>
    <w:tmpl w:val="25D6EA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23D3B"/>
    <w:multiLevelType w:val="hybridMultilevel"/>
    <w:tmpl w:val="609EE2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47995"/>
    <w:multiLevelType w:val="hybridMultilevel"/>
    <w:tmpl w:val="F03CF106"/>
    <w:lvl w:ilvl="0" w:tplc="1DCA3640">
      <w:start w:val="1"/>
      <w:numFmt w:val="lowerRoman"/>
      <w:pStyle w:val="MPLParagraphlevel3"/>
      <w:suff w:val="space"/>
      <w:lvlText w:val="%1."/>
      <w:lvlJc w:val="left"/>
      <w:pPr>
        <w:ind w:left="1494"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DB60E4"/>
    <w:multiLevelType w:val="hybridMultilevel"/>
    <w:tmpl w:val="838C3B36"/>
    <w:lvl w:ilvl="0" w:tplc="0C09001B">
      <w:start w:val="1"/>
      <w:numFmt w:val="lowerRoman"/>
      <w:lvlText w:val="%1."/>
      <w:lvlJc w:val="right"/>
      <w:pPr>
        <w:ind w:left="1636"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BB40541"/>
    <w:multiLevelType w:val="hybridMultilevel"/>
    <w:tmpl w:val="E89A0590"/>
    <w:lvl w:ilvl="0" w:tplc="0C090013">
      <w:start w:val="1"/>
      <w:numFmt w:val="upp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7" w15:restartNumberingAfterBreak="0">
    <w:nsid w:val="24C42E76"/>
    <w:multiLevelType w:val="hybridMultilevel"/>
    <w:tmpl w:val="5CF47A9A"/>
    <w:lvl w:ilvl="0" w:tplc="511E55E0">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24C5598A"/>
    <w:multiLevelType w:val="hybridMultilevel"/>
    <w:tmpl w:val="91FE4092"/>
    <w:lvl w:ilvl="0" w:tplc="0C09001B">
      <w:start w:val="1"/>
      <w:numFmt w:val="lowerRoman"/>
      <w:lvlText w:val="%1."/>
      <w:lvlJc w:val="right"/>
      <w:pPr>
        <w:ind w:left="1636" w:hanging="360"/>
      </w:pPr>
    </w:lvl>
    <w:lvl w:ilvl="1" w:tplc="0C09001B">
      <w:start w:val="1"/>
      <w:numFmt w:val="lowerRoman"/>
      <w:lvlText w:val="%2."/>
      <w:lvlJc w:val="right"/>
      <w:pPr>
        <w:ind w:left="163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27B32FC4"/>
    <w:multiLevelType w:val="hybridMultilevel"/>
    <w:tmpl w:val="23F25E44"/>
    <w:lvl w:ilvl="0" w:tplc="0C09001B">
      <w:start w:val="1"/>
      <w:numFmt w:val="lowerRoman"/>
      <w:lvlText w:val="%1."/>
      <w:lvlJc w:val="righ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0" w15:restartNumberingAfterBreak="0">
    <w:nsid w:val="28C54B67"/>
    <w:multiLevelType w:val="hybridMultilevel"/>
    <w:tmpl w:val="D2F20BB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45847E7"/>
    <w:multiLevelType w:val="hybridMultilevel"/>
    <w:tmpl w:val="4F2CDA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7938E2"/>
    <w:multiLevelType w:val="hybridMultilevel"/>
    <w:tmpl w:val="B9C687B2"/>
    <w:lvl w:ilvl="0" w:tplc="4AF030EC">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FA42B8"/>
    <w:multiLevelType w:val="hybridMultilevel"/>
    <w:tmpl w:val="EBFCACFE"/>
    <w:lvl w:ilvl="0" w:tplc="59C691D0">
      <w:start w:val="1"/>
      <w:numFmt w:val="decimal"/>
      <w:pStyle w:val="MPLParagraphlevel1xx"/>
      <w:lvlText w:val="2.%1"/>
      <w:lvlJc w:val="left"/>
      <w:pPr>
        <w:ind w:left="723" w:hanging="360"/>
      </w:pPr>
      <w:rPr>
        <w:rFonts w:hint="default"/>
      </w:rPr>
    </w:lvl>
    <w:lvl w:ilvl="1" w:tplc="0C090017">
      <w:start w:val="1"/>
      <w:numFmt w:val="lowerLetter"/>
      <w:lvlText w:val="%2)"/>
      <w:lvlJc w:val="left"/>
      <w:pPr>
        <w:ind w:left="1069"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41215694"/>
    <w:multiLevelType w:val="hybridMultilevel"/>
    <w:tmpl w:val="850480BA"/>
    <w:lvl w:ilvl="0" w:tplc="7C3EF692">
      <w:start w:val="1"/>
      <w:numFmt w:val="decimal"/>
      <w:pStyle w:val="MPLParagraphlevel13x"/>
      <w:lvlText w:val="3.%1"/>
      <w:lvlJc w:val="left"/>
      <w:pPr>
        <w:ind w:left="108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5" w15:restartNumberingAfterBreak="0">
    <w:nsid w:val="46B53E2B"/>
    <w:multiLevelType w:val="hybridMultilevel"/>
    <w:tmpl w:val="73DA0872"/>
    <w:lvl w:ilvl="0" w:tplc="D6D43B98">
      <w:start w:val="1"/>
      <w:numFmt w:val="decimal"/>
      <w:pStyle w:val="MPLParagraphlevel14x"/>
      <w:lvlText w:val="4.%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48D3047B"/>
    <w:multiLevelType w:val="hybridMultilevel"/>
    <w:tmpl w:val="B9E05AE4"/>
    <w:lvl w:ilvl="0" w:tplc="0C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8420F8"/>
    <w:multiLevelType w:val="hybridMultilevel"/>
    <w:tmpl w:val="21087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B50103"/>
    <w:multiLevelType w:val="hybridMultilevel"/>
    <w:tmpl w:val="A5183956"/>
    <w:lvl w:ilvl="0" w:tplc="13700694">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B55008"/>
    <w:multiLevelType w:val="multilevel"/>
    <w:tmpl w:val="BAB08C2A"/>
    <w:lvl w:ilvl="0">
      <w:start w:val="1"/>
      <w:numFmt w:val="decimal"/>
      <w:pStyle w:val="MPLPartHeading"/>
      <w:suff w:val="space"/>
      <w:lvlText w:val="Part %1 -"/>
      <w:lvlJc w:val="left"/>
      <w:pPr>
        <w:ind w:left="0" w:firstLine="0"/>
      </w:pPr>
      <w:rPr>
        <w:rFonts w:ascii="Source Sans Pro" w:hAnsi="Source Sans Pro" w:hint="default"/>
        <w:b/>
        <w:i w:val="0"/>
        <w:sz w:val="28"/>
      </w:rPr>
    </w:lvl>
    <w:lvl w:ilvl="1">
      <w:start w:val="1"/>
      <w:numFmt w:val="decimal"/>
      <w:pStyle w:val="MPLHeading1"/>
      <w:suff w:val="space"/>
      <w:lvlText w:val="%1.%2"/>
      <w:lvlJc w:val="left"/>
      <w:pPr>
        <w:ind w:left="357" w:hanging="357"/>
      </w:pPr>
      <w:rPr>
        <w:rFonts w:ascii="Source Sans Pro" w:hAnsi="Source Sans Pro" w:hint="default"/>
        <w:b/>
        <w:i w:val="0"/>
        <w:sz w:val="28"/>
      </w:rPr>
    </w:lvl>
    <w:lvl w:ilvl="2">
      <w:start w:val="1"/>
      <w:numFmt w:val="decimal"/>
      <w:lvlRestart w:val="1"/>
      <w:pStyle w:val="MPLParagraphlevel1"/>
      <w:suff w:val="space"/>
      <w:lvlText w:val="%1.%2.%3"/>
      <w:lvlJc w:val="left"/>
      <w:pPr>
        <w:ind w:left="720" w:hanging="363"/>
      </w:pPr>
      <w:rPr>
        <w:rFonts w:ascii="Source Sans Pro" w:hAnsi="Source Sans Pro" w:hint="default"/>
        <w:b w:val="0"/>
        <w:i w:val="0"/>
        <w:sz w:val="22"/>
      </w:rPr>
    </w:lvl>
    <w:lvl w:ilvl="3">
      <w:start w:val="1"/>
      <w:numFmt w:val="lowerLetter"/>
      <w:suff w:val="space"/>
      <w:lvlText w:val="%4)"/>
      <w:lvlJc w:val="left"/>
      <w:pPr>
        <w:ind w:left="1077" w:hanging="357"/>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8F60AF"/>
    <w:multiLevelType w:val="hybridMultilevel"/>
    <w:tmpl w:val="90522106"/>
    <w:lvl w:ilvl="0" w:tplc="511E55E0">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66CB5291"/>
    <w:multiLevelType w:val="hybridMultilevel"/>
    <w:tmpl w:val="1DC0B3A4"/>
    <w:lvl w:ilvl="0" w:tplc="251E5436">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704C71"/>
    <w:multiLevelType w:val="multilevel"/>
    <w:tmpl w:val="28DCCA3C"/>
    <w:lvl w:ilvl="0">
      <w:start w:val="1"/>
      <w:numFmt w:val="decimal"/>
      <w:suff w:val="space"/>
      <w:lvlText w:val="Part %1 -"/>
      <w:lvlJc w:val="left"/>
      <w:pPr>
        <w:ind w:left="0" w:firstLine="0"/>
      </w:pPr>
      <w:rPr>
        <w:rFonts w:hint="default"/>
        <w:sz w:val="28"/>
      </w:rPr>
    </w:lvl>
    <w:lvl w:ilvl="1">
      <w:start w:val="1"/>
      <w:numFmt w:val="decimal"/>
      <w:suff w:val="space"/>
      <w:lvlText w:val="1.%1.%2"/>
      <w:lvlJc w:val="left"/>
      <w:pPr>
        <w:ind w:left="357" w:firstLine="3"/>
      </w:pPr>
      <w:rPr>
        <w:rFonts w:ascii="Source Sans Pro" w:hAnsi="Source Sans Pro" w:hint="default"/>
        <w:b w:val="0"/>
        <w:i w:val="0"/>
        <w:sz w:val="20"/>
      </w:rPr>
    </w:lvl>
    <w:lvl w:ilvl="2">
      <w:start w:val="1"/>
      <w:numFmt w:val="decimal"/>
      <w:suff w:val="space"/>
      <w:lvlText w:val="1.%2.%3"/>
      <w:lvlJc w:val="left"/>
      <w:pPr>
        <w:ind w:left="720" w:firstLine="0"/>
      </w:pPr>
      <w:rPr>
        <w:rFonts w:ascii="Source Sans Pro" w:hAnsi="Source Sans Pro" w:hint="default"/>
        <w:b w:val="0"/>
        <w:i w:val="0"/>
        <w:sz w:val="22"/>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673694"/>
    <w:multiLevelType w:val="hybridMultilevel"/>
    <w:tmpl w:val="1BBA0A9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790A4216"/>
    <w:multiLevelType w:val="hybridMultilevel"/>
    <w:tmpl w:val="1F6CB1E0"/>
    <w:lvl w:ilvl="0" w:tplc="62A266B0">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06771E"/>
    <w:multiLevelType w:val="hybridMultilevel"/>
    <w:tmpl w:val="0DFE06FC"/>
    <w:lvl w:ilvl="0" w:tplc="0C09001B">
      <w:start w:val="1"/>
      <w:numFmt w:val="lowerRoman"/>
      <w:lvlText w:val="%1."/>
      <w:lvlJc w:val="right"/>
      <w:pPr>
        <w:ind w:left="1636" w:hanging="360"/>
      </w:p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16cid:durableId="876967145">
    <w:abstractNumId w:val="19"/>
  </w:num>
  <w:num w:numId="2" w16cid:durableId="4904077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09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064525">
    <w:abstractNumId w:val="19"/>
  </w:num>
  <w:num w:numId="5" w16cid:durableId="1238058803">
    <w:abstractNumId w:val="19"/>
  </w:num>
  <w:num w:numId="6" w16cid:durableId="1210341319">
    <w:abstractNumId w:val="13"/>
  </w:num>
  <w:num w:numId="7" w16cid:durableId="1743404162">
    <w:abstractNumId w:val="19"/>
  </w:num>
  <w:num w:numId="8" w16cid:durableId="1413895710">
    <w:abstractNumId w:val="22"/>
  </w:num>
  <w:num w:numId="9" w16cid:durableId="1011882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10128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5560981">
    <w:abstractNumId w:val="19"/>
  </w:num>
  <w:num w:numId="12" w16cid:durableId="878737972">
    <w:abstractNumId w:val="19"/>
  </w:num>
  <w:num w:numId="13" w16cid:durableId="439491176">
    <w:abstractNumId w:val="19"/>
  </w:num>
  <w:num w:numId="14" w16cid:durableId="263072473">
    <w:abstractNumId w:val="4"/>
  </w:num>
  <w:num w:numId="15" w16cid:durableId="2007128511">
    <w:abstractNumId w:val="4"/>
    <w:lvlOverride w:ilvl="0">
      <w:startOverride w:val="1"/>
    </w:lvlOverride>
  </w:num>
  <w:num w:numId="16" w16cid:durableId="1848212168">
    <w:abstractNumId w:val="4"/>
    <w:lvlOverride w:ilvl="0">
      <w:startOverride w:val="1"/>
    </w:lvlOverride>
  </w:num>
  <w:num w:numId="17" w16cid:durableId="592321110">
    <w:abstractNumId w:val="4"/>
    <w:lvlOverride w:ilvl="0">
      <w:startOverride w:val="1"/>
    </w:lvlOverride>
  </w:num>
  <w:num w:numId="18" w16cid:durableId="3737717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2731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140256">
    <w:abstractNumId w:val="14"/>
  </w:num>
  <w:num w:numId="21" w16cid:durableId="1512988076">
    <w:abstractNumId w:val="15"/>
  </w:num>
  <w:num w:numId="22" w16cid:durableId="81027069">
    <w:abstractNumId w:val="12"/>
  </w:num>
  <w:num w:numId="23" w16cid:durableId="499154347">
    <w:abstractNumId w:val="17"/>
  </w:num>
  <w:num w:numId="24" w16cid:durableId="1720471309">
    <w:abstractNumId w:val="24"/>
  </w:num>
  <w:num w:numId="25" w16cid:durableId="97020197">
    <w:abstractNumId w:val="1"/>
  </w:num>
  <w:num w:numId="26" w16cid:durableId="1940287971">
    <w:abstractNumId w:val="18"/>
  </w:num>
  <w:num w:numId="27" w16cid:durableId="1196390006">
    <w:abstractNumId w:val="21"/>
  </w:num>
  <w:num w:numId="28" w16cid:durableId="1200556493">
    <w:abstractNumId w:val="4"/>
    <w:lvlOverride w:ilvl="0">
      <w:startOverride w:val="1"/>
    </w:lvlOverride>
  </w:num>
  <w:num w:numId="29" w16cid:durableId="721565936">
    <w:abstractNumId w:val="6"/>
  </w:num>
  <w:num w:numId="30" w16cid:durableId="497506193">
    <w:abstractNumId w:val="9"/>
  </w:num>
  <w:num w:numId="31" w16cid:durableId="808090557">
    <w:abstractNumId w:val="20"/>
  </w:num>
  <w:num w:numId="32" w16cid:durableId="596914104">
    <w:abstractNumId w:val="16"/>
  </w:num>
  <w:num w:numId="33" w16cid:durableId="962080468">
    <w:abstractNumId w:val="11"/>
  </w:num>
  <w:num w:numId="34" w16cid:durableId="1141772816">
    <w:abstractNumId w:val="7"/>
  </w:num>
  <w:num w:numId="35" w16cid:durableId="1380009872">
    <w:abstractNumId w:val="5"/>
  </w:num>
  <w:num w:numId="36" w16cid:durableId="1755667615">
    <w:abstractNumId w:val="3"/>
  </w:num>
  <w:num w:numId="37" w16cid:durableId="304046803">
    <w:abstractNumId w:val="25"/>
  </w:num>
  <w:num w:numId="38" w16cid:durableId="1230268713">
    <w:abstractNumId w:val="8"/>
  </w:num>
  <w:num w:numId="39" w16cid:durableId="565649153">
    <w:abstractNumId w:val="10"/>
  </w:num>
  <w:num w:numId="40" w16cid:durableId="1656714107">
    <w:abstractNumId w:val="0"/>
  </w:num>
  <w:num w:numId="41" w16cid:durableId="883761319">
    <w:abstractNumId w:val="23"/>
  </w:num>
  <w:num w:numId="42" w16cid:durableId="265964057">
    <w:abstractNumId w:val="1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750873">
    <w:abstractNumId w:val="2"/>
  </w:num>
  <w:num w:numId="44" w16cid:durableId="330834364">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3289406">
    <w:abstractNumId w:val="19"/>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9807428">
    <w:abstractNumId w:val="1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D"/>
    <w:rsid w:val="0002044A"/>
    <w:rsid w:val="00060BE2"/>
    <w:rsid w:val="00074C5E"/>
    <w:rsid w:val="000D7606"/>
    <w:rsid w:val="000E7BFA"/>
    <w:rsid w:val="00107CC2"/>
    <w:rsid w:val="00132C01"/>
    <w:rsid w:val="00154F17"/>
    <w:rsid w:val="00163BB7"/>
    <w:rsid w:val="001B3D6B"/>
    <w:rsid w:val="00292B81"/>
    <w:rsid w:val="002B116F"/>
    <w:rsid w:val="002B6495"/>
    <w:rsid w:val="002C5AFE"/>
    <w:rsid w:val="002E5B9B"/>
    <w:rsid w:val="003707B0"/>
    <w:rsid w:val="0038611C"/>
    <w:rsid w:val="003A48BD"/>
    <w:rsid w:val="003C2499"/>
    <w:rsid w:val="003C70D5"/>
    <w:rsid w:val="00451E85"/>
    <w:rsid w:val="00495B68"/>
    <w:rsid w:val="004A1EC0"/>
    <w:rsid w:val="004F1922"/>
    <w:rsid w:val="004F7A55"/>
    <w:rsid w:val="005058DE"/>
    <w:rsid w:val="00526C73"/>
    <w:rsid w:val="005460BA"/>
    <w:rsid w:val="00547B38"/>
    <w:rsid w:val="005663F5"/>
    <w:rsid w:val="00584537"/>
    <w:rsid w:val="005A27DB"/>
    <w:rsid w:val="005B4703"/>
    <w:rsid w:val="005B69EE"/>
    <w:rsid w:val="005C2D1E"/>
    <w:rsid w:val="005E2D46"/>
    <w:rsid w:val="005F5238"/>
    <w:rsid w:val="00602041"/>
    <w:rsid w:val="006103ED"/>
    <w:rsid w:val="0062054A"/>
    <w:rsid w:val="0065760E"/>
    <w:rsid w:val="00664607"/>
    <w:rsid w:val="006A7D8E"/>
    <w:rsid w:val="007456F3"/>
    <w:rsid w:val="007504FB"/>
    <w:rsid w:val="007B124F"/>
    <w:rsid w:val="007C084D"/>
    <w:rsid w:val="007E62C6"/>
    <w:rsid w:val="008053CE"/>
    <w:rsid w:val="008377AA"/>
    <w:rsid w:val="00850405"/>
    <w:rsid w:val="00866DBB"/>
    <w:rsid w:val="0087722E"/>
    <w:rsid w:val="008C0DE0"/>
    <w:rsid w:val="008C7420"/>
    <w:rsid w:val="00913C55"/>
    <w:rsid w:val="00922F6C"/>
    <w:rsid w:val="00924898"/>
    <w:rsid w:val="009250F5"/>
    <w:rsid w:val="00926438"/>
    <w:rsid w:val="0099768B"/>
    <w:rsid w:val="009A5163"/>
    <w:rsid w:val="009B24EE"/>
    <w:rsid w:val="009C5495"/>
    <w:rsid w:val="00A47829"/>
    <w:rsid w:val="00A570F7"/>
    <w:rsid w:val="00AF41ED"/>
    <w:rsid w:val="00B03109"/>
    <w:rsid w:val="00B23E1C"/>
    <w:rsid w:val="00B5492A"/>
    <w:rsid w:val="00B659FD"/>
    <w:rsid w:val="00B660D0"/>
    <w:rsid w:val="00B736BC"/>
    <w:rsid w:val="00BD547D"/>
    <w:rsid w:val="00C011C7"/>
    <w:rsid w:val="00C0247E"/>
    <w:rsid w:val="00C11753"/>
    <w:rsid w:val="00C63B54"/>
    <w:rsid w:val="00C65D68"/>
    <w:rsid w:val="00CB4208"/>
    <w:rsid w:val="00D20AA2"/>
    <w:rsid w:val="00D52BD4"/>
    <w:rsid w:val="00D62512"/>
    <w:rsid w:val="00D77691"/>
    <w:rsid w:val="00DA7B93"/>
    <w:rsid w:val="00DC7F5D"/>
    <w:rsid w:val="00DF72B4"/>
    <w:rsid w:val="00E15B79"/>
    <w:rsid w:val="00E33150"/>
    <w:rsid w:val="00E4690F"/>
    <w:rsid w:val="00EB1632"/>
    <w:rsid w:val="00EE61BE"/>
    <w:rsid w:val="00EF7F6C"/>
    <w:rsid w:val="00F400D0"/>
    <w:rsid w:val="00F6739C"/>
    <w:rsid w:val="00F7560A"/>
    <w:rsid w:val="00F812B6"/>
    <w:rsid w:val="00FA3284"/>
    <w:rsid w:val="00FD7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40EA"/>
  <w15:chartTrackingRefBased/>
  <w15:docId w15:val="{87528F82-EC6B-439E-96EE-ACADB9CE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7D"/>
    <w:pPr>
      <w:spacing w:line="278" w:lineRule="auto"/>
    </w:pPr>
    <w:rPr>
      <w:rFonts w:ascii="Source Sans Pro" w:hAnsi="Source Sans Pro"/>
      <w:sz w:val="20"/>
      <w:szCs w:val="24"/>
    </w:rPr>
  </w:style>
  <w:style w:type="paragraph" w:styleId="Heading1">
    <w:name w:val="heading 1"/>
    <w:basedOn w:val="Normal"/>
    <w:next w:val="Normal"/>
    <w:link w:val="Heading1Char"/>
    <w:uiPriority w:val="9"/>
    <w:qFormat/>
    <w:rsid w:val="00BD547D"/>
    <w:pPr>
      <w:keepNext/>
      <w:keepLines/>
      <w:spacing w:before="360" w:after="80"/>
      <w:outlineLvl w:val="0"/>
    </w:pPr>
    <w:rPr>
      <w:rFonts w:eastAsiaTheme="majorEastAsia" w:hAnsiTheme="majorHAnsi" w:cstheme="majorBidi" w:asciiTheme="Source Sans Pro"/>
      <w:color w:val="000F46"/>
      <w:sz w:val="32"/>
      <w:szCs w:val="40"/>
    </w:rPr>
  </w:style>
  <w:style w:type="paragraph" w:styleId="Heading2">
    <w:name w:val="heading 2"/>
    <w:basedOn w:val="Normal"/>
    <w:next w:val="Normal"/>
    <w:link w:val="Heading2Char"/>
    <w:uiPriority w:val="9"/>
    <w:semiHidden/>
    <w:unhideWhenUsed/>
    <w:qFormat/>
    <w:rsid w:val="00BD547D"/>
    <w:pPr>
      <w:keepNext/>
      <w:keepLines/>
      <w:spacing w:before="160" w:after="80"/>
      <w:outlineLvl w:val="1"/>
    </w:pPr>
    <w:rPr>
      <w:rFonts w:eastAsiaTheme="majorEastAsia" w:hAnsiTheme="majorHAnsi" w:cstheme="majorBidi" w:asciiTheme="Source Sans Pro"/>
      <w:color w:val="000F46"/>
      <w:sz w:val="28"/>
      <w:szCs w:val="32"/>
    </w:rPr>
  </w:style>
  <w:style w:type="paragraph" w:styleId="Heading3">
    <w:name w:val="heading 3"/>
    <w:basedOn w:val="Normal"/>
    <w:next w:val="Normal"/>
    <w:link w:val="Heading3Char"/>
    <w:uiPriority w:val="9"/>
    <w:semiHidden/>
    <w:unhideWhenUsed/>
    <w:qFormat/>
    <w:rsid w:val="00BD547D"/>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BD547D"/>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BD547D"/>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semiHidden/>
    <w:unhideWhenUsed/>
    <w:qFormat/>
    <w:rsid w:val="00BD547D"/>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BD5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7D"/>
    <w:rPr>
      <w:rFonts w:eastAsiaTheme="majorEastAsia" w:cstheme="majorBidi"/>
      <w:color w:val="272727" w:themeColor="text1" w:themeTint="D8"/>
    </w:rPr>
  </w:style>
  <w:style w:type="paragraph" w:styleId="Title">
    <w:name w:val="Title"/>
    <w:basedOn w:val="Normal"/>
    <w:next w:val="Normal"/>
    <w:link w:val="TitleChar"/>
    <w:uiPriority w:val="10"/>
    <w:qFormat/>
    <w:rsid w:val="00BD5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7D"/>
    <w:pPr>
      <w:spacing w:before="160"/>
      <w:jc w:val="center"/>
    </w:pPr>
    <w:rPr>
      <w:i/>
      <w:iCs/>
      <w:color w:val="404040" w:themeColor="text1" w:themeTint="BF"/>
    </w:rPr>
  </w:style>
  <w:style w:type="character" w:customStyle="1" w:styleId="QuoteChar">
    <w:name w:val="Quote Char"/>
    <w:basedOn w:val="DefaultParagraphFont"/>
    <w:link w:val="Quote"/>
    <w:uiPriority w:val="29"/>
    <w:rsid w:val="00BD547D"/>
    <w:rPr>
      <w:i/>
      <w:iCs/>
      <w:color w:val="404040" w:themeColor="text1" w:themeTint="BF"/>
    </w:rPr>
  </w:style>
  <w:style w:type="paragraph" w:styleId="ListParagraph">
    <w:name w:val="List Paragraph"/>
    <w:basedOn w:val="Normal"/>
    <w:uiPriority w:val="34"/>
    <w:qFormat/>
    <w:rsid w:val="00BD547D"/>
    <w:pPr>
      <w:ind w:left="720"/>
      <w:contextualSpacing/>
    </w:pPr>
  </w:style>
  <w:style w:type="character" w:styleId="IntenseEmphasis">
    <w:name w:val="Intense Emphasis"/>
    <w:basedOn w:val="DefaultParagraphFont"/>
    <w:uiPriority w:val="21"/>
    <w:qFormat/>
    <w:rsid w:val="00BD547D"/>
    <w:rPr>
      <w:i/>
      <w:iCs/>
      <w:color w:val="0F4761" w:themeColor="accent1" w:themeShade="BF"/>
    </w:rPr>
  </w:style>
  <w:style w:type="paragraph" w:styleId="IntenseQuote">
    <w:name w:val="Intense Quote"/>
    <w:basedOn w:val="Normal"/>
    <w:next w:val="Normal"/>
    <w:link w:val="IntenseQuoteChar"/>
    <w:uiPriority w:val="30"/>
    <w:qFormat/>
    <w:rsid w:val="00BD5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47D"/>
    <w:rPr>
      <w:i/>
      <w:iCs/>
      <w:color w:val="0F4761" w:themeColor="accent1" w:themeShade="BF"/>
    </w:rPr>
  </w:style>
  <w:style w:type="character" w:styleId="IntenseReference">
    <w:name w:val="Intense Reference"/>
    <w:basedOn w:val="DefaultParagraphFont"/>
    <w:uiPriority w:val="32"/>
    <w:qFormat/>
    <w:rsid w:val="00BD547D"/>
    <w:rPr>
      <w:b/>
      <w:bCs/>
      <w:smallCaps/>
      <w:color w:val="0F4761" w:themeColor="accent1" w:themeShade="BF"/>
      <w:spacing w:val="5"/>
    </w:rPr>
  </w:style>
  <w:style w:type="character" w:styleId="Hyperlink">
    <w:name w:val="Hyperlink"/>
    <w:aliases w:val="MPL - Hyperlink"/>
    <w:basedOn w:val="DefaultParagraphFont"/>
    <w:uiPriority w:val="99"/>
    <w:unhideWhenUsed/>
    <w:qFormat/>
    <w:rsid w:val="00BD547D"/>
    <w:rPr>
      <w:color w:val="467886" w:themeColor="hyperlink"/>
      <w:u w:val="single"/>
    </w:rPr>
  </w:style>
  <w:style w:type="table" w:styleId="TableGrid">
    <w:name w:val="Table Grid"/>
    <w:basedOn w:val="TableNormal"/>
    <w:uiPriority w:val="59"/>
    <w:rsid w:val="00BD547D"/>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LParagraphlevel1">
    <w:name w:val="MPL Paragraph level 1"/>
    <w:basedOn w:val="ListParagraph"/>
    <w:qFormat/>
    <w:rsid w:val="00BD547D"/>
    <w:pPr>
      <w:numPr>
        <w:ilvl w:val="2"/>
        <w:numId w:val="11"/>
      </w:numPr>
      <w:spacing w:afterLines="50" w:after="50" w:line="276" w:lineRule="auto"/>
      <w:contextualSpacing w:val="0"/>
    </w:pPr>
    <w:rPr>
      <w:rFonts w:eastAsia="Times New Roman" w:cs="Arial" w:asciiTheme="Source Sans Pro"/>
      <w:kern w:val="0"/>
      <w:sz w:val="20"/>
      <w:lang w:val="en-US" w:eastAsia="en-AU"/>
      <w14:ligatures w14:val="none"/>
    </w:rPr>
  </w:style>
  <w:style w:type="paragraph" w:customStyle="1" w:styleId="MPLHeading1">
    <w:name w:val="MPL Heading 1"/>
    <w:basedOn w:val="Heading2"/>
    <w:qFormat/>
    <w:rsid w:val="00BD547D"/>
    <w:pPr>
      <w:numPr>
        <w:ilvl w:val="1"/>
        <w:numId w:val="11"/>
      </w:numPr>
      <w:spacing w:before="200" w:afterLines="50" w:after="120" w:line="276" w:lineRule="auto"/>
    </w:pPr>
    <w:rPr>
      <w:rFonts w:hAnsi="Source Sans Pro" w:cs="Arial" w:asciiTheme="Source Sans Pro"/>
      <w:b/>
      <w:bCs/>
      <w:color w:val="000F46"/>
      <w:kern w:val="0"/>
      <w:sz w:val="32"/>
      <w:szCs w:val="26"/>
      <w:lang w:val="en-US"/>
      <w14:ligatures w14:val="none"/>
    </w:rPr>
  </w:style>
  <w:style w:type="paragraph" w:customStyle="1" w:styleId="MPLParagraphlevel2">
    <w:name w:val="MPL Paragraph level 2"/>
    <w:basedOn w:val="ListParagraph"/>
    <w:qFormat/>
    <w:rsid w:val="00BD547D"/>
    <w:pPr>
      <w:spacing w:after="200" w:line="276" w:lineRule="auto"/>
      <w:ind w:left="0"/>
    </w:pPr>
    <w:rPr>
      <w:rFonts w:eastAsiaTheme="minorEastAsia" w:cs="Arial" w:asciiTheme="Source Sans Pro"/>
      <w:kern w:val="0"/>
      <w:sz w:val="20"/>
      <w:lang w:val="en-US"/>
      <w14:ligatures w14:val="none"/>
    </w:rPr>
  </w:style>
  <w:style w:type="paragraph" w:customStyle="1" w:styleId="MPLParagraphlevel3">
    <w:name w:val="MPL Paragraph level 3"/>
    <w:basedOn w:val="ListParagraph"/>
    <w:qFormat/>
    <w:rsid w:val="00BD547D"/>
    <w:pPr>
      <w:numPr>
        <w:numId w:val="14"/>
      </w:numPr>
      <w:spacing w:before="120" w:after="120" w:line="276" w:lineRule="auto"/>
    </w:pPr>
    <w:rPr>
      <w:rFonts w:eastAsiaTheme="minorEastAsia" w:cs="Arial" w:asciiTheme="Source Sans Pro"/>
      <w:kern w:val="0"/>
      <w:sz w:val="20"/>
      <w:lang w:val="en-US"/>
      <w14:ligatures w14:val="none"/>
    </w:rPr>
  </w:style>
  <w:style w:type="paragraph" w:customStyle="1" w:styleId="MPLParagraphlevel4">
    <w:name w:val="MPL Paragraph level 4"/>
    <w:basedOn w:val="ListParagraph"/>
    <w:qFormat/>
    <w:rsid w:val="00BD547D"/>
    <w:pPr>
      <w:numPr>
        <w:ilvl w:val="4"/>
        <w:numId w:val="11"/>
      </w:numPr>
      <w:spacing w:afterLines="50" w:after="120" w:line="276" w:lineRule="auto"/>
    </w:pPr>
    <w:rPr>
      <w:rFonts w:eastAsiaTheme="minorEastAsia" w:cs="Arial" w:asciiTheme="Source Sans Pro"/>
      <w:kern w:val="0"/>
      <w:sz w:val="20"/>
      <w:lang w:val="en-US"/>
      <w14:ligatures w14:val="none"/>
    </w:rPr>
  </w:style>
  <w:style w:type="paragraph" w:customStyle="1" w:styleId="MPLParapgrah">
    <w:name w:val="MPL Parapgrah"/>
    <w:basedOn w:val="Normal"/>
    <w:qFormat/>
    <w:rsid w:val="00BD547D"/>
    <w:pPr>
      <w:spacing w:after="200" w:line="276" w:lineRule="auto"/>
    </w:pPr>
    <w:rPr>
      <w:rFonts w:eastAsiaTheme="minorEastAsia" w:cs="Arial"/>
      <w:kern w:val="0"/>
      <w:szCs w:val="22"/>
      <w14:ligatures w14:val="none"/>
    </w:rPr>
  </w:style>
  <w:style w:type="paragraph" w:customStyle="1" w:styleId="MPLNoNumberingHeadings">
    <w:name w:val="MPL No Numbering Headings"/>
    <w:basedOn w:val="Heading2"/>
    <w:next w:val="MPLParagraphlevel1xx"/>
    <w:qFormat/>
    <w:rsid w:val="00BD547D"/>
    <w:pPr>
      <w:spacing w:before="200" w:after="0" w:line="276" w:lineRule="auto"/>
    </w:pPr>
    <w:rPr>
      <w:rFonts w:hAnsi="Source Sans Pro" w:cs="Arial" w:asciiTheme="Source Sans Pro"/>
      <w:b/>
      <w:bCs/>
      <w:color w:val="000F46"/>
      <w:kern w:val="0"/>
      <w:sz w:val="32"/>
      <w:szCs w:val="26"/>
      <w:lang w:val="en-US"/>
      <w14:ligatures w14:val="none"/>
    </w:rPr>
  </w:style>
  <w:style w:type="paragraph" w:customStyle="1" w:styleId="MPLPartHeading">
    <w:name w:val="MPL Part Heading"/>
    <w:basedOn w:val="MPLNoNumberingHeadings"/>
    <w:qFormat/>
    <w:rsid w:val="00BD547D"/>
    <w:pPr>
      <w:numPr>
        <w:numId w:val="11"/>
      </w:numPr>
    </w:pPr>
    <w:rPr>
      <w:rFonts w:eastAsia="Times New Roman"/>
      <w:lang w:eastAsia="en-AU"/>
    </w:rPr>
  </w:style>
  <w:style w:type="character" w:customStyle="1" w:styleId="cf01">
    <w:name w:val="cf01"/>
    <w:basedOn w:val="DefaultParagraphFont"/>
    <w:rsid w:val="00BD547D"/>
    <w:rPr>
      <w:rFonts w:ascii="Segoe UI" w:hAnsi="Segoe UI" w:cs="Segoe UI" w:hint="default"/>
      <w:sz w:val="18"/>
      <w:szCs w:val="18"/>
    </w:rPr>
  </w:style>
  <w:style w:type="paragraph" w:customStyle="1" w:styleId="MPLParagraphlevel1xx">
    <w:name w:val="MPL Paragraph level 1 (x.x)"/>
    <w:basedOn w:val="MPLParagraphlevel1"/>
    <w:qFormat/>
    <w:rsid w:val="00BD547D"/>
    <w:pPr>
      <w:numPr>
        <w:ilvl w:val="0"/>
        <w:numId w:val="6"/>
      </w:numPr>
    </w:pPr>
  </w:style>
  <w:style w:type="paragraph" w:customStyle="1" w:styleId="MPLParagraphlevel13x">
    <w:name w:val="MPL Paragraph level 1 (3.x)"/>
    <w:basedOn w:val="MPLParagraphlevel1xx"/>
    <w:qFormat/>
    <w:rsid w:val="00BD547D"/>
    <w:pPr>
      <w:numPr>
        <w:numId w:val="20"/>
      </w:numPr>
      <w:ind w:left="363" w:hanging="6"/>
    </w:pPr>
  </w:style>
  <w:style w:type="paragraph" w:customStyle="1" w:styleId="MPLParagraphlevel14x">
    <w:name w:val="MPL Paragraph level 1 (4.x)"/>
    <w:basedOn w:val="MPLParagraphlevel1xx"/>
    <w:qFormat/>
    <w:rsid w:val="00BD547D"/>
    <w:pPr>
      <w:numPr>
        <w:numId w:val="21"/>
      </w:numPr>
      <w:ind w:left="363" w:hanging="6"/>
    </w:pPr>
  </w:style>
  <w:style w:type="paragraph" w:styleId="Revision">
    <w:name w:val="Revision"/>
    <w:hidden/>
    <w:uiPriority w:val="99"/>
    <w:semiHidden/>
    <w:rsid w:val="003A48BD"/>
    <w:pPr>
      <w:spacing w:after="0" w:line="240" w:lineRule="auto"/>
    </w:pPr>
    <w:rPr>
      <w:rFonts w:ascii="Source Sans Pro" w:hAnsi="Source Sans Pro"/>
      <w:sz w:val="20"/>
      <w:szCs w:val="24"/>
    </w:rPr>
  </w:style>
  <w:style w:type="character" w:styleId="CommentReference">
    <w:name w:val="annotation reference"/>
    <w:basedOn w:val="DefaultParagraphFont"/>
    <w:uiPriority w:val="99"/>
    <w:semiHidden/>
    <w:unhideWhenUsed/>
    <w:rsid w:val="00B736BC"/>
    <w:rPr>
      <w:sz w:val="16"/>
      <w:szCs w:val="16"/>
    </w:rPr>
  </w:style>
  <w:style w:type="paragraph" w:styleId="CommentText">
    <w:name w:val="annotation text"/>
    <w:basedOn w:val="Normal"/>
    <w:link w:val="CommentTextChar"/>
    <w:uiPriority w:val="99"/>
    <w:unhideWhenUsed/>
    <w:rsid w:val="00B736BC"/>
    <w:pPr>
      <w:spacing w:line="240" w:lineRule="auto"/>
    </w:pPr>
    <w:rPr>
      <w:szCs w:val="20"/>
    </w:rPr>
  </w:style>
  <w:style w:type="character" w:customStyle="1" w:styleId="CommentTextChar">
    <w:name w:val="Comment Text Char"/>
    <w:basedOn w:val="DefaultParagraphFont"/>
    <w:link w:val="CommentText"/>
    <w:uiPriority w:val="99"/>
    <w:rsid w:val="00B736BC"/>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B736BC"/>
    <w:rPr>
      <w:b/>
      <w:bCs/>
    </w:rPr>
  </w:style>
  <w:style w:type="character" w:customStyle="1" w:styleId="CommentSubjectChar">
    <w:name w:val="Comment Subject Char"/>
    <w:basedOn w:val="CommentTextChar"/>
    <w:link w:val="CommentSubject"/>
    <w:uiPriority w:val="99"/>
    <w:semiHidden/>
    <w:rsid w:val="00B736BC"/>
    <w:rPr>
      <w:rFonts w:ascii="Source Sans Pro" w:hAnsi="Source Sans Pro"/>
      <w:b/>
      <w:bCs/>
      <w:sz w:val="20"/>
      <w:szCs w:val="20"/>
    </w:rPr>
  </w:style>
  <w:style w:type="character" w:styleId="UnresolvedMention">
    <w:name w:val="Unresolved Mention"/>
    <w:basedOn w:val="DefaultParagraphFont"/>
    <w:uiPriority w:val="99"/>
    <w:semiHidden/>
    <w:unhideWhenUsed/>
    <w:rsid w:val="002B6495"/>
    <w:rPr>
      <w:color w:val="605E5C"/>
      <w:shd w:val="clear" w:color="auto" w:fill="E1DFDD"/>
    </w:rPr>
  </w:style>
  <w:style w:type="character" w:styleId="FollowedHyperlink">
    <w:name w:val="FollowedHyperlink"/>
    <w:basedOn w:val="DefaultParagraphFont"/>
    <w:uiPriority w:val="99"/>
    <w:semiHidden/>
    <w:unhideWhenUsed/>
    <w:rsid w:val="000204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imelb.edu.au/MPF13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promapp.com/unimelb/Process/fcccb79d-e3d6-4f41-ac40-14648d2a8d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5" Type="http://schemas.openxmlformats.org/officeDocument/2006/relationships/numbering" Target="numbering.xml"/><Relationship Id="rId15" Type="http://schemas.openxmlformats.org/officeDocument/2006/relationships/hyperlink" Target="https://unimelb.service-now.com/sys_attachment.do?sys_id=8cb87c7287220690780dfcc97bbb358a" TargetMode="External"/><Relationship Id="rId10" Type="http://schemas.openxmlformats.org/officeDocument/2006/relationships/hyperlink" Target="https://www.legislation.vic.gov.au/in-force/acts/university-melbourne-act-2009/007" TargetMode="External"/><Relationship Id="rId4" Type="http://schemas.openxmlformats.org/officeDocument/2006/relationships/customXml" Target="../customXml/item4.xml"/><Relationship Id="rId9" Type="http://schemas.openxmlformats.org/officeDocument/2006/relationships/hyperlink" Target="https://policy.unimelb.edu.au/MPF1299/" TargetMode="External"/><Relationship Id="rId14" Type="http://schemas.openxmlformats.org/officeDocument/2006/relationships/hyperlink" Target="https://policy.unimelb.edu.au/MPF1129/" TargetMode="External"/><Relationship Id="rId19" Type="http://schemas.openxmlformats.org/officeDocument/2006/relationships/hyperlink" Target="https://policy.unimelb.edu.au/category/Employment/" TargetMode="External"/><Relationship Id="rId20" Type="http://schemas.openxmlformats.org/officeDocument/2006/relationships/hyperlink" Target="https://au.promapp.com/unimelb/Process/Group/1e7e7306-d5fd-48eb-9ff9-e03882ea4c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9443-0302-4EAF-B43A-D59EF58CA99E}">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2.xml><?xml version="1.0" encoding="utf-8"?>
<ds:datastoreItem xmlns:ds="http://schemas.openxmlformats.org/officeDocument/2006/customXml" ds:itemID="{F8A58C0D-F80F-4695-9BA9-DC0DD3FD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10DA-DD2E-4F5B-B564-33CFAEC785A1}">
  <ds:schemaRefs>
    <ds:schemaRef ds:uri="http://schemas.openxmlformats.org/officeDocument/2006/bibliography"/>
  </ds:schemaRefs>
</ds:datastoreItem>
</file>

<file path=customXml/itemProps4.xml><?xml version="1.0" encoding="utf-8"?>
<ds:datastoreItem xmlns:ds="http://schemas.openxmlformats.org/officeDocument/2006/customXml" ds:itemID="{CC6E3657-ACDA-4088-94E1-4A9DEE18C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3070</Words>
  <Characters>17503</Characters>
  <Application>Microsoft Office Word</Application>
  <DocSecurity>0</DocSecurity>
  <Lines>145</Lines>
  <Paragraphs>41</Paragraphs>
  <ScaleCrop>false</ScaleCrop>
  <Company>The University of Melbourne</Company>
  <LinksUpToDate>false</LinksUpToDate>
  <CharactersWithSpaces>20532</CharactersWithSpaces>
  <SharedDoc>false</SharedDoc>
  <HLinks>
    <vt:vector size="60" baseType="variant">
      <vt:variant>
        <vt:i4>3014706</vt:i4>
      </vt:variant>
      <vt:variant>
        <vt:i4>27</vt:i4>
      </vt:variant>
      <vt:variant>
        <vt:i4>0</vt:i4>
      </vt:variant>
      <vt:variant>
        <vt:i4>5</vt:i4>
      </vt:variant>
      <vt:variant>
        <vt:lpwstr>https://au.promapp.com/unimelb/Process/fcccb79d-e3d6-4f41-ac40-14648d2a8dec</vt:lpwstr>
      </vt:variant>
      <vt:variant>
        <vt:lpwstr/>
      </vt:variant>
      <vt:variant>
        <vt:i4>5898267</vt:i4>
      </vt:variant>
      <vt:variant>
        <vt:i4>24</vt:i4>
      </vt:variant>
      <vt:variant>
        <vt:i4>0</vt:i4>
      </vt:variant>
      <vt:variant>
        <vt:i4>5</vt:i4>
      </vt:variant>
      <vt:variant>
        <vt:lpwstr>https://unimelb.service-now.com/sys_attachment.do?sys_id=8cb87c7287220690780dfcc97bbb358a</vt:lpwstr>
      </vt:variant>
      <vt:variant>
        <vt:lpwstr/>
      </vt:variant>
      <vt:variant>
        <vt:i4>7798892</vt:i4>
      </vt:variant>
      <vt:variant>
        <vt:i4>21</vt:i4>
      </vt:variant>
      <vt:variant>
        <vt:i4>0</vt:i4>
      </vt:variant>
      <vt:variant>
        <vt:i4>5</vt:i4>
      </vt:variant>
      <vt:variant>
        <vt:lpwstr>https://policy.unimelb.edu.au/MPF1129/</vt:lpwstr>
      </vt:variant>
      <vt:variant>
        <vt:lpwstr/>
      </vt:variant>
      <vt:variant>
        <vt:i4>7536739</vt:i4>
      </vt:variant>
      <vt:variant>
        <vt:i4>18</vt:i4>
      </vt:variant>
      <vt:variant>
        <vt:i4>0</vt:i4>
      </vt:variant>
      <vt:variant>
        <vt:i4>5</vt:i4>
      </vt:variant>
      <vt:variant>
        <vt:lpwstr>https://policy.unimelb.edu.au/MPF1364/</vt:lpwstr>
      </vt:variant>
      <vt:variant>
        <vt:lpwstr/>
      </vt:variant>
      <vt:variant>
        <vt:i4>3538977</vt:i4>
      </vt:variant>
      <vt:variant>
        <vt:i4>15</vt:i4>
      </vt:variant>
      <vt:variant>
        <vt:i4>0</vt:i4>
      </vt:variant>
      <vt:variant>
        <vt:i4>5</vt:i4>
      </vt:variant>
      <vt:variant>
        <vt:lpwstr>https://about.unimelb.edu.au/strategy/governance/regulatory-framework/legislative-framework</vt:lpwstr>
      </vt:variant>
      <vt:variant>
        <vt:lpwstr/>
      </vt:variant>
      <vt:variant>
        <vt:i4>2228322</vt:i4>
      </vt:variant>
      <vt:variant>
        <vt:i4>12</vt:i4>
      </vt:variant>
      <vt:variant>
        <vt:i4>0</vt:i4>
      </vt:variant>
      <vt:variant>
        <vt:i4>5</vt:i4>
      </vt:variant>
      <vt:variant>
        <vt:lpwstr>http://www.legislation.vic.gov.au/domino/Web_Notes/LDMS/LTObject_Store/ltobjst10.nsf/DDE300B846EED9C7CA257616000A3571/57E03E58E80A32E4CA258326007E9CC4/$FILE/09-78aa007 authorised.pdf</vt:lpwstr>
      </vt:variant>
      <vt:variant>
        <vt:lpwstr/>
      </vt:variant>
      <vt:variant>
        <vt:i4>2228322</vt:i4>
      </vt:variant>
      <vt:variant>
        <vt:i4>9</vt:i4>
      </vt:variant>
      <vt:variant>
        <vt:i4>0</vt:i4>
      </vt:variant>
      <vt:variant>
        <vt:i4>5</vt:i4>
      </vt:variant>
      <vt:variant>
        <vt:lpwstr>http://www.legislation.vic.gov.au/domino/Web_Notes/LDMS/LTObject_Store/ltobjst10.nsf/DDE300B846EED9C7CA257616000A3571/57E03E58E80A32E4CA258326007E9CC4/$FILE/09-78aa007 authorised.pdf</vt:lpwstr>
      </vt:variant>
      <vt:variant>
        <vt:lpwstr/>
      </vt:variant>
      <vt:variant>
        <vt:i4>5439574</vt:i4>
      </vt:variant>
      <vt:variant>
        <vt:i4>6</vt:i4>
      </vt:variant>
      <vt:variant>
        <vt:i4>0</vt:i4>
      </vt:variant>
      <vt:variant>
        <vt:i4>5</vt:i4>
      </vt:variant>
      <vt:variant>
        <vt:lpwstr>https://policy.unimelb.edu.au/MPF1299</vt:lpwstr>
      </vt:variant>
      <vt:variant>
        <vt:lpwstr/>
      </vt:variant>
      <vt:variant>
        <vt:i4>589841</vt:i4>
      </vt:variant>
      <vt:variant>
        <vt:i4>3</vt:i4>
      </vt:variant>
      <vt:variant>
        <vt:i4>0</vt:i4>
      </vt:variant>
      <vt:variant>
        <vt:i4>5</vt:i4>
      </vt:variant>
      <vt:variant>
        <vt:lpwstr>https://au.promapp.com/unimelb/Process/Group/1e7e7306-d5fd-48eb-9ff9-e03882ea4cf9</vt:lpwstr>
      </vt:variant>
      <vt:variant>
        <vt:lpwstr/>
      </vt:variant>
      <vt:variant>
        <vt:i4>7274539</vt:i4>
      </vt:variant>
      <vt:variant>
        <vt:i4>0</vt:i4>
      </vt:variant>
      <vt:variant>
        <vt:i4>0</vt:i4>
      </vt:variant>
      <vt:variant>
        <vt:i4>5</vt:i4>
      </vt:variant>
      <vt:variant>
        <vt:lpwstr>https://policy.unimelb.edu.au/category/Employment/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Rose Antonious</cp:lastModifiedBy>
  <cp:revision>55</cp:revision>
  <dcterms:created xsi:type="dcterms:W3CDTF">2024-09-03T00:51:00Z</dcterms:created>
  <dcterms:modified xsi:type="dcterms:W3CDTF">2024-09-03T04:33:00Z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