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documenttasks/documenttasks1.xml" ContentType="application/vnd.ms-office.documenttask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intelligence2.xml" ContentType="application/vnd.ms-office.intelligence2+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Heading1"/>
      </w:pPr>
      <w:r>
        <w:rPr>
          <w:b/>
        </w:rPr>
        <w:t>Student Appeals Policy (MPF1323)</w:t>
      </w:r>
    </w:p>
    <w:p>
      <w:r/>
    </w:p>
    <w:p>
      <w:r>
        <w:rPr>
          <w:rFonts w:ascii="Source Sans Pro" w:hAnsi="Source Sans Pro"/>
          <w:b/>
          <w:sz w:val="20"/>
        </w:rPr>
        <w:t xml:space="preserve">Category: </w:t>
      </w:r>
      <w:r/>
      <w:hyperlink r:id="rId28">
        <w:r>
          <w:rPr>
            <w:color w:val="0000FF"/>
            <w:u w:val="single"/>
          </w:rPr>
          <w:t xml:space="preserve"> Student Management and Support </w:t>
        </w:r>
      </w:hyperlink>
      <w:r/>
      <w:r>
        <w:br/>
      </w:r>
      <w:r>
        <w:rPr>
          <w:rFonts w:ascii="Source Sans Pro" w:hAnsi="Source Sans Pro"/>
          <w:b/>
          <w:sz w:val="20"/>
        </w:rPr>
        <w:t xml:space="preserve">Version: </w:t>
      </w:r>
      <w:r>
        <w:rPr>
          <w:rFonts w:ascii="Source Sans Pro" w:hAnsi="Source Sans Pro"/>
          <w:sz w:val="20"/>
        </w:rPr>
        <w:t>17</w:t>
        <w:br/>
      </w:r>
      <w:r>
        <w:rPr>
          <w:rFonts w:ascii="Source Sans Pro" w:hAnsi="Source Sans Pro"/>
          <w:b/>
          <w:sz w:val="20"/>
        </w:rPr>
        <w:t xml:space="preserve">Document Type: </w:t>
      </w:r>
      <w:r>
        <w:rPr>
          <w:rFonts w:ascii="Source Sans Pro" w:hAnsi="Source Sans Pro"/>
          <w:sz w:val="20"/>
        </w:rPr>
        <w:t>Policy</w:t>
        <w:br/>
      </w:r>
      <w:r>
        <w:rPr>
          <w:rFonts w:ascii="Source Sans Pro" w:hAnsi="Source Sans Pro"/>
          <w:b/>
          <w:sz w:val="20"/>
        </w:rPr>
        <w:t xml:space="preserve">Document Status: </w:t>
      </w:r>
      <w:r>
        <w:rPr>
          <w:rFonts w:ascii="Source Sans Pro" w:hAnsi="Source Sans Pro"/>
          <w:sz w:val="20"/>
        </w:rPr>
        <w:t>Published</w:t>
        <w:br/>
      </w:r>
      <w:r>
        <w:rPr>
          <w:rFonts w:ascii="Source Sans Pro" w:hAnsi="Source Sans Pro"/>
          <w:b/>
          <w:sz w:val="20"/>
        </w:rPr>
        <w:t xml:space="preserve">Approved Date: </w:t>
      </w:r>
      <w:r>
        <w:rPr>
          <w:rFonts w:ascii="Source Sans Pro" w:hAnsi="Source Sans Pro"/>
          <w:sz w:val="20"/>
        </w:rPr>
        <w:t>14 December, 2022</w:t>
        <w:br/>
      </w:r>
      <w:r>
        <w:rPr>
          <w:rFonts w:ascii="Source Sans Pro" w:hAnsi="Source Sans Pro"/>
          <w:b/>
          <w:sz w:val="20"/>
        </w:rPr>
        <w:t xml:space="preserve">Audience: </w:t>
      </w:r>
      <w:r>
        <w:rPr>
          <w:rFonts w:ascii="Source Sans Pro" w:hAnsi="Source Sans Pro"/>
          <w:sz w:val="20"/>
        </w:rPr>
        <w:t>Staff, Students, Academic</w:t>
        <w:br/>
      </w:r>
      <w:r>
        <w:rPr>
          <w:rFonts w:ascii="Source Sans Pro" w:hAnsi="Source Sans Pro"/>
          <w:b/>
          <w:sz w:val="20"/>
        </w:rPr>
        <w:t xml:space="preserve">Effective Date: </w:t>
      </w:r>
      <w:r>
        <w:rPr>
          <w:rFonts w:ascii="Source Sans Pro" w:hAnsi="Source Sans Pro"/>
          <w:sz w:val="20"/>
        </w:rPr>
        <w:t>22 December, 2022</w:t>
        <w:br/>
      </w:r>
      <w:r>
        <w:rPr>
          <w:rFonts w:ascii="Source Sans Pro" w:hAnsi="Source Sans Pro"/>
          <w:b/>
          <w:sz w:val="20"/>
        </w:rPr>
        <w:t xml:space="preserve">Review due by: </w:t>
      </w:r>
      <w:r>
        <w:rPr>
          <w:rFonts w:ascii="Source Sans Pro" w:hAnsi="Source Sans Pro"/>
          <w:sz w:val="20"/>
        </w:rPr>
        <w:t>26 March, 2024</w:t>
        <w:br/>
      </w:r>
      <w:r>
        <w:rPr>
          <w:rFonts w:ascii="Source Sans Pro" w:hAnsi="Source Sans Pro"/>
          <w:b/>
          <w:sz w:val="20"/>
        </w:rPr>
        <w:t xml:space="preserve">Policy Approver: </w:t>
      </w:r>
      <w:r>
        <w:rPr>
          <w:rFonts w:ascii="Source Sans Pro" w:hAnsi="Source Sans Pro"/>
          <w:sz w:val="20"/>
        </w:rPr>
        <w:t>Academic Board</w:t>
        <w:br/>
      </w:r>
      <w:r>
        <w:rPr>
          <w:rFonts w:ascii="Source Sans Pro" w:hAnsi="Source Sans Pro"/>
          <w:b/>
          <w:sz w:val="20"/>
        </w:rPr>
        <w:t xml:space="preserve">Policy Steward: </w:t>
      </w:r>
      <w:r>
        <w:rPr>
          <w:rFonts w:ascii="Source Sans Pro" w:hAnsi="Source Sans Pro"/>
          <w:sz w:val="20"/>
        </w:rPr>
        <w:t>Academic Secretary</w:t>
        <w:br/>
      </w:r>
      <w:r>
        <w:rPr>
          <w:rFonts w:ascii="Source Sans Pro" w:hAnsi="Source Sans Pro"/>
          <w:b/>
          <w:sz w:val="20"/>
        </w:rPr>
        <w:t xml:space="preserve">Supporting Process: </w:t>
      </w:r>
      <w:r/>
      <w:r>
        <w:br/>
      </w:r>
      <w:hyperlink r:id="rId29">
        <w:r>
          <w:rPr>
            <w:color w:val="0000FF"/>
            <w:u w:val="single"/>
          </w:rPr>
          <w:t>Student Management and Support Processes</w:t>
        </w:r>
      </w:hyperlink>
      <w:r/>
      <w:r>
        <w:br/>
      </w:r>
    </w:p>
    <w:p w14:paraId="18119089" w14:textId="126B5AC3" w:rsidR="001672CB" w:rsidRDefault="00777272" w:rsidP="008C5508">
      <w:pPr>
        <w:pStyle w:val="MPLHeading1"/>
      </w:pPr>
      <w:r>
        <w:t>Objective</w:t>
      </w:r>
    </w:p>
    <w:p w14:paraId="74E2A5D8" w14:textId="77777777" w:rsidR="001672CB" w:rsidRDefault="00777272" w:rsidP="000643B7">
      <w:pPr>
        <w:pStyle w:val="MPLParagraphlevel1"/>
        <w:rPr>
          <w:color w:val="000000"/>
        </w:rPr>
      </w:pPr>
      <w:r w:rsidRPr="308479A3">
        <w:t xml:space="preserve">The objective of this policy is to provide a framework for the appeal of </w:t>
      </w:r>
      <w:bookmarkStart w:id="0" w:name="_Int_FcCej3Or"/>
      <w:r w:rsidRPr="308479A3">
        <w:t>University</w:t>
      </w:r>
      <w:bookmarkEnd w:id="0"/>
      <w:r w:rsidRPr="308479A3">
        <w:t xml:space="preserve"> decisions relating to students which ensures that appeal processes are transparent, consistent and fair.</w:t>
      </w:r>
    </w:p>
    <w:p w14:paraId="360133A6" w14:textId="3B85A9C8" w:rsidR="001672CB" w:rsidRDefault="00777272" w:rsidP="00394663">
      <w:pPr>
        <w:pStyle w:val="MPLHeading1"/>
      </w:pPr>
      <w:r>
        <w:t>Scope</w:t>
      </w:r>
    </w:p>
    <w:p w14:paraId="67273B99" w14:textId="77777777" w:rsidR="001672CB" w:rsidRDefault="00777272" w:rsidP="000643B7">
      <w:pPr>
        <w:pStyle w:val="MPLParagraphlevel1"/>
      </w:pPr>
      <w:r>
        <w:t>This policy applies to all student and eligible persons’ appeals.</w:t>
      </w:r>
    </w:p>
    <w:p w14:paraId="672643AE" w14:textId="11CF2750" w:rsidR="001672CB" w:rsidRDefault="00777272" w:rsidP="00394663">
      <w:pPr>
        <w:pStyle w:val="MPLHeading1"/>
      </w:pPr>
      <w:r>
        <w:t>Authority</w:t>
      </w:r>
    </w:p>
    <w:p w14:paraId="41FF6804" w14:textId="77777777" w:rsidR="001672CB" w:rsidRDefault="00777272" w:rsidP="000643B7">
      <w:pPr>
        <w:pStyle w:val="MPLParagraphlevel1"/>
      </w:pPr>
      <w:r>
        <w:t xml:space="preserve">This policy is made under the </w:t>
      </w:r>
      <w:r>
        <w:rPr>
          <w:i/>
          <w:iCs/>
        </w:rPr>
        <w:t>University of Melbourne Act 2009</w:t>
      </w:r>
      <w:r>
        <w:t xml:space="preserve"> (Vic), the Academic Board Regulation, The Vice-Chancellor Regulation and supports compliance with the:</w:t>
      </w:r>
    </w:p>
    <w:p w14:paraId="7E463A51" w14:textId="5323F0BE" w:rsidR="001672CB" w:rsidRPr="00EE23C9" w:rsidRDefault="00777272" w:rsidP="00242D58">
      <w:pPr>
        <w:pStyle w:val="MPLParagraphlevel2"/>
        <w:rPr>
          <w:b/>
        </w:rPr>
      </w:pPr>
      <w:r w:rsidRPr="00657508">
        <w:rPr>
          <w:i/>
          <w:iCs/>
        </w:rPr>
        <w:t>Higher Education Support Act 2003</w:t>
      </w:r>
      <w:r w:rsidRPr="00EE23C9">
        <w:t>;</w:t>
      </w:r>
    </w:p>
    <w:p w14:paraId="67381F99" w14:textId="24D78A35" w:rsidR="001672CB" w:rsidRPr="00EE23C9" w:rsidRDefault="00777272" w:rsidP="00242D58">
      <w:pPr>
        <w:pStyle w:val="MPLParagraphlevel2"/>
        <w:rPr>
          <w:b/>
        </w:rPr>
      </w:pPr>
      <w:r w:rsidRPr="00657508">
        <w:rPr>
          <w:i/>
          <w:iCs/>
        </w:rPr>
        <w:t>Education Services for Overseas Students Act 2000</w:t>
      </w:r>
      <w:r w:rsidRPr="00EE23C9">
        <w:t>; and</w:t>
      </w:r>
    </w:p>
    <w:p w14:paraId="6F211941" w14:textId="7BDDDD48" w:rsidR="001672CB" w:rsidRPr="00EE23C9" w:rsidRDefault="00777272" w:rsidP="00242D58">
      <w:pPr>
        <w:pStyle w:val="MPLParagraphlevel2"/>
        <w:rPr>
          <w:b/>
        </w:rPr>
      </w:pPr>
      <w:r w:rsidRPr="00EE23C9">
        <w:t>National Code of Practice for Providers of Education and Training to Overseas Students 2018.</w:t>
      </w:r>
    </w:p>
    <w:p w14:paraId="63D2C94C" w14:textId="097EFEAF" w:rsidR="001672CB" w:rsidRDefault="00777272" w:rsidP="00394663">
      <w:pPr>
        <w:pStyle w:val="MPLHeading1"/>
      </w:pPr>
      <w:r>
        <w:t>Policy</w:t>
      </w:r>
    </w:p>
    <w:p w14:paraId="28815E06" w14:textId="67FD25DC" w:rsidR="001672CB" w:rsidRPr="008C3CAB" w:rsidRDefault="00777272" w:rsidP="000643B7">
      <w:pPr>
        <w:pStyle w:val="MPLParagraphlevel1"/>
        <w:rPr>
          <w:b/>
        </w:rPr>
      </w:pPr>
      <w:r w:rsidRPr="008C3CAB">
        <w:t>Students have the right, in specified circumstances, to appeal University decisions made in respect of them.</w:t>
      </w:r>
    </w:p>
    <w:p w14:paraId="0600D7DC" w14:textId="77777777" w:rsidR="001672CB" w:rsidRDefault="00777272" w:rsidP="003339DB">
      <w:pPr>
        <w:pStyle w:val="MPFSubheading"/>
      </w:pPr>
      <w:r>
        <w:t>Appealable decisions</w:t>
      </w:r>
    </w:p>
    <w:p w14:paraId="6965D7EE" w14:textId="75A26227" w:rsidR="001672CB" w:rsidRPr="006053A2" w:rsidRDefault="00777272" w:rsidP="000643B7">
      <w:pPr>
        <w:pStyle w:val="MPLParagraphlevel1"/>
        <w:rPr>
          <w:b/>
        </w:rPr>
      </w:pPr>
      <w:bookmarkStart w:id="1" w:name="_A_student_or"/>
      <w:bookmarkEnd w:id="1"/>
      <w:r w:rsidRPr="006053A2">
        <w:t xml:space="preserve">A </w:t>
      </w:r>
      <w:r w:rsidRPr="000E143D">
        <w:t>student</w:t>
      </w:r>
      <w:r w:rsidRPr="006053A2">
        <w:t xml:space="preserve"> or other eligible person (the appellant) may appeal decisions regarding:</w:t>
      </w:r>
    </w:p>
    <w:p w14:paraId="0319AA78" w14:textId="719C6E52" w:rsidR="001672CB" w:rsidRPr="00EE23C9" w:rsidRDefault="00C40D86" w:rsidP="0080502A">
      <w:pPr>
        <w:pStyle w:val="MPLParagraphlevel2"/>
        <w:rPr>
          <w:b/>
        </w:rPr>
      </w:pPr>
      <w:r w:rsidRPr="00EE23C9">
        <w:t xml:space="preserve">student </w:t>
      </w:r>
      <w:r w:rsidR="00777272" w:rsidRPr="00EE23C9">
        <w:t>academic misconduct;</w:t>
      </w:r>
    </w:p>
    <w:p w14:paraId="0AAD6B61" w14:textId="19413F3F" w:rsidR="001672CB" w:rsidRPr="00EE23C9" w:rsidRDefault="00C40D86" w:rsidP="0080502A">
      <w:pPr>
        <w:pStyle w:val="MPLParagraphlevel2"/>
        <w:rPr>
          <w:b/>
        </w:rPr>
      </w:pPr>
      <w:r w:rsidRPr="00EE23C9">
        <w:t xml:space="preserve">student </w:t>
      </w:r>
      <w:r w:rsidR="00777272" w:rsidRPr="00EE23C9">
        <w:t>general misconduct;</w:t>
      </w:r>
    </w:p>
    <w:p w14:paraId="39FD1B0B" w14:textId="5908F575" w:rsidR="001672CB" w:rsidRPr="00EE23C9" w:rsidRDefault="00C40D86" w:rsidP="0080502A">
      <w:pPr>
        <w:pStyle w:val="MPLParagraphlevel2"/>
        <w:rPr>
          <w:b/>
        </w:rPr>
      </w:pPr>
      <w:r w:rsidRPr="00EE23C9">
        <w:t xml:space="preserve">student </w:t>
      </w:r>
      <w:r w:rsidR="00777272" w:rsidRPr="00EE23C9">
        <w:t>grievance</w:t>
      </w:r>
      <w:r w:rsidRPr="00EE23C9">
        <w:t>s</w:t>
      </w:r>
      <w:r w:rsidR="00D8376B" w:rsidRPr="00EE23C9">
        <w:t xml:space="preserve">, provided the grievance does not involve an alleged breach by staff of the </w:t>
      </w:r>
      <w:r w:rsidR="009F4287" w:rsidRPr="00EE23C9">
        <w:t>Appropriate Workplace Behaviour</w:t>
      </w:r>
      <w:r w:rsidR="00D8376B" w:rsidRPr="00EE23C9">
        <w:t xml:space="preserve"> </w:t>
      </w:r>
      <w:r w:rsidR="009F4287" w:rsidRPr="00EE23C9">
        <w:t>P</w:t>
      </w:r>
      <w:r w:rsidR="00D8376B" w:rsidRPr="00EE23C9">
        <w:t>olicy</w:t>
      </w:r>
      <w:r w:rsidR="00777272" w:rsidRPr="00EE23C9">
        <w:t>;</w:t>
      </w:r>
    </w:p>
    <w:p w14:paraId="2C49EF29" w14:textId="54CEF66E" w:rsidR="00892852" w:rsidRPr="00EE23C9" w:rsidRDefault="00777272" w:rsidP="0080502A">
      <w:pPr>
        <w:pStyle w:val="MPLParagraphlevel2"/>
        <w:rPr>
          <w:b/>
        </w:rPr>
      </w:pPr>
      <w:r w:rsidRPr="00EE23C9">
        <w:t>academic progress;</w:t>
      </w:r>
    </w:p>
    <w:p w14:paraId="1E86CDD4" w14:textId="22D0B8E6" w:rsidR="001672CB" w:rsidRPr="00EE23C9" w:rsidRDefault="00777272" w:rsidP="0080502A">
      <w:pPr>
        <w:pStyle w:val="MPLParagraphlevel2"/>
        <w:rPr>
          <w:b/>
        </w:rPr>
      </w:pPr>
      <w:bookmarkStart w:id="2" w:name="_Hlk106195296"/>
      <w:r w:rsidRPr="1EFA187F">
        <w:rPr>
          <w:color w:val="000000" w:themeColor="text1"/>
        </w:rPr>
        <w:t xml:space="preserve">statutory decisions; </w:t>
      </w:r>
      <w:bookmarkEnd w:id="2"/>
    </w:p>
    <w:p w14:paraId="34930799" w14:textId="5A1CBB6D" w:rsidR="001672CB" w:rsidRPr="00EE23C9" w:rsidRDefault="00777272" w:rsidP="0080502A">
      <w:pPr>
        <w:pStyle w:val="MPLParagraphlevel2"/>
        <w:rPr>
          <w:b/>
        </w:rPr>
      </w:pPr>
      <w:bookmarkStart w:id="3" w:name="_Hlk106194297"/>
      <w:r w:rsidRPr="1EFA187F">
        <w:rPr>
          <w:color w:val="000000" w:themeColor="text1"/>
        </w:rPr>
        <w:t>incorrect information or advice given by any academic or administrative staff of the University or which appeared in any publication of the University which has caused hardship to the student;</w:t>
      </w:r>
      <w:bookmarkEnd w:id="3"/>
    </w:p>
    <w:p w14:paraId="07973A4C" w14:textId="75444555" w:rsidR="001672CB" w:rsidRPr="00EE23C9" w:rsidDel="008B1B4C" w:rsidRDefault="00777272" w:rsidP="0080502A">
      <w:pPr>
        <w:pStyle w:val="MPLParagraphlevel2"/>
        <w:rPr>
          <w:b/>
        </w:rPr>
      </w:pPr>
      <w:r w:rsidRPr="1EFA187F">
        <w:rPr>
          <w:color w:val="000000" w:themeColor="text1"/>
        </w:rPr>
        <w:t>examination outcome in a graduate research course; </w:t>
      </w:r>
    </w:p>
    <w:p w14:paraId="220EA070" w14:textId="5724D08E" w:rsidR="00C27AD9" w:rsidRPr="00EE23C9" w:rsidRDefault="00777272" w:rsidP="0080502A">
      <w:pPr>
        <w:pStyle w:val="MPLParagraphlevel2"/>
        <w:rPr>
          <w:b/>
        </w:rPr>
      </w:pPr>
      <w:r w:rsidRPr="1EFA187F">
        <w:rPr>
          <w:color w:val="000000" w:themeColor="text1"/>
        </w:rPr>
        <w:t>selection;</w:t>
      </w:r>
    </w:p>
    <w:p w14:paraId="4FA4348C" w14:textId="0F0B00B4" w:rsidR="001672CB" w:rsidRPr="00EE23C9" w:rsidRDefault="00777272" w:rsidP="0080502A">
      <w:pPr>
        <w:pStyle w:val="MPLParagraphlevel2"/>
        <w:rPr>
          <w:b/>
        </w:rPr>
      </w:pPr>
      <w:r w:rsidRPr="1EFA187F">
        <w:rPr>
          <w:color w:val="000000" w:themeColor="text1"/>
        </w:rPr>
        <w:t>student fitness to practice;</w:t>
      </w:r>
    </w:p>
    <w:p w14:paraId="0239280F" w14:textId="777039A6" w:rsidR="001672CB" w:rsidRPr="00EE23C9" w:rsidRDefault="00777272" w:rsidP="0080502A">
      <w:pPr>
        <w:pStyle w:val="MPLParagraphlevel2"/>
        <w:rPr>
          <w:b/>
        </w:rPr>
      </w:pPr>
      <w:r w:rsidRPr="1EFA187F">
        <w:rPr>
          <w:color w:val="000000" w:themeColor="text1"/>
        </w:rPr>
        <w:t>exclusion for a notifiable disease; and</w:t>
      </w:r>
    </w:p>
    <w:p w14:paraId="65C26B1D" w14:textId="276096DC" w:rsidR="001672CB" w:rsidRPr="00EE23C9" w:rsidRDefault="00777272" w:rsidP="0080502A">
      <w:pPr>
        <w:pStyle w:val="MPLParagraphlevel2"/>
        <w:rPr>
          <w:b/>
        </w:rPr>
      </w:pPr>
      <w:r w:rsidRPr="1EFA187F">
        <w:rPr>
          <w:color w:val="000000" w:themeColor="text1"/>
        </w:rPr>
        <w:t>student fitness to study.</w:t>
      </w:r>
    </w:p>
    <w:p w14:paraId="6E94230F" w14:textId="77777777" w:rsidR="001672CB" w:rsidRDefault="00777272" w:rsidP="003339DB">
      <w:pPr>
        <w:pStyle w:val="MPFSubheading"/>
      </w:pPr>
      <w:r>
        <w:t>Grounds for appeal</w:t>
      </w:r>
    </w:p>
    <w:p w14:paraId="4411DA07" w14:textId="3F882BA5" w:rsidR="001672CB" w:rsidRPr="00AF410C" w:rsidRDefault="00777272" w:rsidP="000643B7">
      <w:pPr>
        <w:pStyle w:val="MPLParagraphlevel1"/>
        <w:rPr>
          <w:b/>
        </w:rPr>
      </w:pPr>
      <w:r w:rsidRPr="00AF410C">
        <w:t>An appeal made under section 4.2 must be on one or more of the following grounds:</w:t>
      </w:r>
    </w:p>
    <w:p w14:paraId="7BE627D0" w14:textId="65FF3BD8" w:rsidR="001672CB" w:rsidRPr="00AF410C" w:rsidRDefault="00777272" w:rsidP="0080502A">
      <w:pPr>
        <w:pStyle w:val="MPLParagraphlevel2"/>
        <w:rPr>
          <w:b/>
        </w:rPr>
      </w:pPr>
      <w:r w:rsidRPr="00AF410C">
        <w:t>a procedural irregularity has occurred (which may include that the student has not received a fair hearing in all the circumstances);</w:t>
      </w:r>
    </w:p>
    <w:p w14:paraId="47925EA2" w14:textId="3E3120AD" w:rsidR="001672CB" w:rsidRPr="00A22D28" w:rsidRDefault="00777272" w:rsidP="0080502A">
      <w:pPr>
        <w:pStyle w:val="MPLParagraphlevel2"/>
        <w:rPr>
          <w:b/>
        </w:rPr>
      </w:pPr>
      <w:r w:rsidRPr="00A22D28">
        <w:lastRenderedPageBreak/>
        <w:t>there is new information that could not reasonably have been provided at the time of the</w:t>
      </w:r>
      <w:r w:rsidR="00EE23C9">
        <w:t xml:space="preserve"> o</w:t>
      </w:r>
      <w:r w:rsidRPr="00A22D28">
        <w:t>riginal decision, and that would probably have affected the decision or any penalty imposed;</w:t>
      </w:r>
    </w:p>
    <w:p w14:paraId="5545414B" w14:textId="7DBF620A" w:rsidR="001672CB" w:rsidRPr="00A22D28" w:rsidRDefault="00777272" w:rsidP="0080502A">
      <w:pPr>
        <w:pStyle w:val="MPLParagraphlevel2"/>
        <w:rPr>
          <w:b/>
        </w:rPr>
      </w:pPr>
      <w:r w:rsidRPr="00A22D28">
        <w:t>the decision was manifestly wrong; and/or</w:t>
      </w:r>
    </w:p>
    <w:p w14:paraId="5CE6CF48" w14:textId="382E77D7" w:rsidR="001672CB" w:rsidRPr="00A22D28" w:rsidRDefault="00777272" w:rsidP="0080502A">
      <w:pPr>
        <w:pStyle w:val="MPLParagraphlevel2"/>
        <w:rPr>
          <w:b/>
        </w:rPr>
      </w:pPr>
      <w:r w:rsidRPr="00A22D28">
        <w:t xml:space="preserve">the penalty imposed was manifestly excessive, inappropriate or not available in the </w:t>
      </w:r>
      <w:r w:rsidR="00EE23C9">
        <w:t>c</w:t>
      </w:r>
      <w:r w:rsidRPr="00A22D28">
        <w:t>ircumstances.</w:t>
      </w:r>
    </w:p>
    <w:p w14:paraId="1DAAF2B9" w14:textId="49D311BE" w:rsidR="001672CB" w:rsidRPr="00A22D28" w:rsidRDefault="00777272" w:rsidP="000643B7">
      <w:pPr>
        <w:pStyle w:val="MPLParagraphlevel1"/>
        <w:rPr>
          <w:b/>
          <w:color w:val="000000"/>
        </w:rPr>
      </w:pPr>
      <w:r w:rsidRPr="1EFA187F">
        <w:t>An appeal made under 4.2(</w:t>
      </w:r>
      <w:r w:rsidR="00EA3C25" w:rsidRPr="1EFA187F">
        <w:t>h</w:t>
      </w:r>
      <w:r w:rsidRPr="1EFA187F">
        <w:t>) can only be made on the grounds that a procedural irregularity has occurred in the selection process.</w:t>
      </w:r>
    </w:p>
    <w:p w14:paraId="422E5675" w14:textId="415C85DB" w:rsidR="001672CB" w:rsidRPr="00334A4F" w:rsidRDefault="00777272" w:rsidP="000643B7">
      <w:pPr>
        <w:pStyle w:val="MPLParagraphlevel1"/>
        <w:rPr>
          <w:b/>
          <w:color w:val="000000"/>
        </w:rPr>
      </w:pPr>
      <w:r w:rsidRPr="1EFA187F">
        <w:t>An appeal made under 4.2(g) can only be made on the following grounds:</w:t>
      </w:r>
    </w:p>
    <w:p w14:paraId="06B7A9A3" w14:textId="1588089D" w:rsidR="001672CB" w:rsidRPr="00D364F5" w:rsidRDefault="00777272" w:rsidP="0080502A">
      <w:pPr>
        <w:pStyle w:val="MPLParagraphlevel2"/>
        <w:rPr>
          <w:b/>
        </w:rPr>
      </w:pPr>
      <w:r w:rsidRPr="00D364F5">
        <w:t>procedural irregularities in the conduct of the examination, which may have had an effect on the outcome of the examination; and/or</w:t>
      </w:r>
    </w:p>
    <w:p w14:paraId="4EF3919B" w14:textId="27E07324" w:rsidR="001672CB" w:rsidRPr="00D364F5" w:rsidRDefault="00777272" w:rsidP="0080502A">
      <w:pPr>
        <w:pStyle w:val="MPLParagraphlevel2"/>
        <w:rPr>
          <w:b/>
        </w:rPr>
      </w:pPr>
      <w:r w:rsidRPr="1EFA187F">
        <w:rPr>
          <w:color w:val="000000" w:themeColor="text1"/>
        </w:rPr>
        <w:t>documented evidence of prejudice or bias on the part of one or more of the examiners.</w:t>
      </w:r>
    </w:p>
    <w:p w14:paraId="7125B468" w14:textId="77777777" w:rsidR="001672CB" w:rsidRDefault="00777272" w:rsidP="003339DB">
      <w:pPr>
        <w:pStyle w:val="MPFSubheading"/>
      </w:pPr>
      <w:r>
        <w:t>Limitations</w:t>
      </w:r>
    </w:p>
    <w:p w14:paraId="4E86F676" w14:textId="68ADEAA4" w:rsidR="001672CB" w:rsidRPr="00334A4F" w:rsidRDefault="00777272" w:rsidP="00C85D80">
      <w:pPr>
        <w:pStyle w:val="MPLParagraphlevel1"/>
        <w:rPr>
          <w:b/>
        </w:rPr>
      </w:pPr>
      <w:r w:rsidRPr="00334A4F">
        <w:t>Decisions by an examiner or board of examiners in relation to the academic performance of a student in any component of assessment which is based solely on academic judgement cannot be appealed.</w:t>
      </w:r>
    </w:p>
    <w:p w14:paraId="2AA9F04C" w14:textId="730F891D" w:rsidR="001672CB" w:rsidRPr="00334A4F" w:rsidRDefault="00777272" w:rsidP="00C85D80">
      <w:pPr>
        <w:pStyle w:val="MPLParagraphlevel1"/>
        <w:rPr>
          <w:b/>
        </w:rPr>
      </w:pPr>
      <w:r w:rsidRPr="00334A4F">
        <w:t>Failure to read and act upon a notice or correspondence sent to the student University email account are not grounds for an appeal.</w:t>
      </w:r>
    </w:p>
    <w:p w14:paraId="0F0A7C37" w14:textId="40694B82" w:rsidR="00FA1884" w:rsidRPr="00334A4F" w:rsidRDefault="00FA1884" w:rsidP="00C85D80">
      <w:pPr>
        <w:pStyle w:val="MPLParagraphlevel1"/>
        <w:rPr>
          <w:b/>
        </w:rPr>
      </w:pPr>
      <w:r w:rsidRPr="1EFA187F">
        <w:rPr>
          <w:color w:val="000000" w:themeColor="text1"/>
        </w:rPr>
        <w:t>A grievance</w:t>
      </w:r>
      <w:r w:rsidR="062E0B7F" w:rsidRPr="1EFA187F">
        <w:rPr>
          <w:color w:val="000000" w:themeColor="text1"/>
        </w:rPr>
        <w:t xml:space="preserve"> or</w:t>
      </w:r>
      <w:r w:rsidRPr="1EFA187F">
        <w:rPr>
          <w:color w:val="000000" w:themeColor="text1"/>
        </w:rPr>
        <w:t xml:space="preserve"> complaint about the content of a University policy made in accordance with the University Regulatory Framework</w:t>
      </w:r>
      <w:r w:rsidR="001A2D76" w:rsidRPr="1EFA187F">
        <w:rPr>
          <w:color w:val="000000" w:themeColor="text1"/>
        </w:rPr>
        <w:t xml:space="preserve"> cannot be appealed</w:t>
      </w:r>
      <w:r w:rsidRPr="1EFA187F">
        <w:rPr>
          <w:color w:val="000000" w:themeColor="text1"/>
        </w:rPr>
        <w:t>;</w:t>
      </w:r>
    </w:p>
    <w:p w14:paraId="11CE43FF" w14:textId="2181C387" w:rsidR="001672CB" w:rsidRPr="00334A4F" w:rsidRDefault="00777272" w:rsidP="00C85D80">
      <w:pPr>
        <w:pStyle w:val="MPLParagraphlevel1"/>
        <w:rPr>
          <w:b/>
        </w:rPr>
      </w:pPr>
      <w:r w:rsidRPr="00334A4F">
        <w:t>Decisions of Council to revoke an award cannot be appealed.</w:t>
      </w:r>
    </w:p>
    <w:p w14:paraId="1B6919B7" w14:textId="5F2DFA72" w:rsidR="63500BD4" w:rsidRPr="00334A4F" w:rsidRDefault="63500BD4" w:rsidP="00C85D80">
      <w:pPr>
        <w:pStyle w:val="MPLParagraphlevel1"/>
        <w:rPr>
          <w:b/>
        </w:rPr>
      </w:pPr>
      <w:r w:rsidRPr="1EFA187F">
        <w:rPr>
          <w:color w:val="000000" w:themeColor="text1"/>
        </w:rPr>
        <w:t xml:space="preserve">Students seeking to appeal a decision related to the following policies, must first seek a review in accordance with the process set out in that policy: </w:t>
      </w:r>
    </w:p>
    <w:p w14:paraId="0E5F404A" w14:textId="02A5F66F" w:rsidR="63500BD4" w:rsidRPr="00334A4F" w:rsidRDefault="63500BD4" w:rsidP="0080502A">
      <w:pPr>
        <w:pStyle w:val="MPLParagraphlevel2"/>
        <w:rPr>
          <w:bCs/>
          <w:color w:val="000000"/>
        </w:rPr>
      </w:pPr>
      <w:r w:rsidRPr="00675599">
        <w:rPr>
          <w:bCs/>
        </w:rPr>
        <w:t>Selection and Admission Policy (</w:t>
      </w:r>
      <w:hyperlink r:id="rId9" w:history="1">
        <w:r w:rsidRPr="00675599">
          <w:rPr>
            <w:rStyle w:val="Hyperlink"/>
            <w:bCs/>
          </w:rPr>
          <w:t>MPF1295</w:t>
        </w:r>
      </w:hyperlink>
      <w:r w:rsidRPr="00675599">
        <w:rPr>
          <w:bCs/>
        </w:rPr>
        <w:t xml:space="preserve">) </w:t>
      </w:r>
      <w:r w:rsidRPr="00334A4F">
        <w:rPr>
          <w:bCs/>
          <w:color w:val="000000"/>
        </w:rPr>
        <w:t xml:space="preserve"> </w:t>
      </w:r>
    </w:p>
    <w:p w14:paraId="02B723BE" w14:textId="1D3BFB24" w:rsidR="63500BD4" w:rsidRPr="00334A4F" w:rsidRDefault="001E3365" w:rsidP="0080502A">
      <w:pPr>
        <w:pStyle w:val="MPLParagraphlevel2"/>
        <w:rPr>
          <w:bCs/>
          <w:color w:val="000000"/>
        </w:rPr>
      </w:pPr>
      <w:r w:rsidRPr="00675599">
        <w:rPr>
          <w:bCs/>
        </w:rPr>
        <w:t>Credit, Advanced Standing and Accelerated Entry Policy (</w:t>
      </w:r>
      <w:hyperlink r:id="rId10" w:history="1">
        <w:r w:rsidRPr="00211114">
          <w:rPr>
            <w:rStyle w:val="Hyperlink"/>
            <w:bCs/>
          </w:rPr>
          <w:t>MPF1293</w:t>
        </w:r>
      </w:hyperlink>
      <w:r w:rsidRPr="00675599">
        <w:rPr>
          <w:bCs/>
        </w:rPr>
        <w:t>)</w:t>
      </w:r>
    </w:p>
    <w:p w14:paraId="796728BD" w14:textId="2CEC473C" w:rsidR="63500BD4" w:rsidRPr="00334A4F" w:rsidRDefault="63500BD4" w:rsidP="0080502A">
      <w:pPr>
        <w:pStyle w:val="MPLParagraphlevel2"/>
        <w:rPr>
          <w:bCs/>
          <w:color w:val="000000"/>
        </w:rPr>
      </w:pPr>
      <w:r w:rsidRPr="00675599">
        <w:rPr>
          <w:bCs/>
        </w:rPr>
        <w:t xml:space="preserve">Assessment and Results Policy </w:t>
      </w:r>
      <w:r w:rsidR="00E5451D" w:rsidRPr="00675599">
        <w:rPr>
          <w:bCs/>
        </w:rPr>
        <w:t>(</w:t>
      </w:r>
      <w:hyperlink r:id="rId11" w:history="1">
        <w:r w:rsidR="00E5451D" w:rsidRPr="00211114">
          <w:rPr>
            <w:rStyle w:val="Hyperlink"/>
            <w:bCs/>
          </w:rPr>
          <w:t>MPF1326</w:t>
        </w:r>
      </w:hyperlink>
      <w:r w:rsidR="00E5451D" w:rsidRPr="00675599">
        <w:rPr>
          <w:bCs/>
        </w:rPr>
        <w:t>)</w:t>
      </w:r>
    </w:p>
    <w:p w14:paraId="4C9D0A81" w14:textId="691DE335" w:rsidR="63500BD4" w:rsidRPr="00334A4F" w:rsidRDefault="63500BD4" w:rsidP="0080502A">
      <w:pPr>
        <w:pStyle w:val="MPLParagraphlevel2"/>
        <w:rPr>
          <w:bCs/>
          <w:color w:val="000000"/>
        </w:rPr>
      </w:pPr>
      <w:r w:rsidRPr="00675599">
        <w:rPr>
          <w:bCs/>
        </w:rPr>
        <w:t>Establishment and Award of Student Awards Policy</w:t>
      </w:r>
      <w:r w:rsidR="002D6731" w:rsidRPr="00675599">
        <w:rPr>
          <w:bCs/>
        </w:rPr>
        <w:t xml:space="preserve"> (</w:t>
      </w:r>
      <w:hyperlink r:id="rId12" w:history="1">
        <w:r w:rsidR="002D6731" w:rsidRPr="00D3463E">
          <w:rPr>
            <w:rStyle w:val="Hyperlink"/>
            <w:bCs/>
          </w:rPr>
          <w:t>MPF1062</w:t>
        </w:r>
      </w:hyperlink>
      <w:r w:rsidR="002D6731" w:rsidRPr="00675599">
        <w:rPr>
          <w:bCs/>
        </w:rPr>
        <w:t>)</w:t>
      </w:r>
    </w:p>
    <w:p w14:paraId="31133F17" w14:textId="77777777" w:rsidR="001672CB" w:rsidRDefault="00777272" w:rsidP="003339DB">
      <w:pPr>
        <w:pStyle w:val="MPFSubheading"/>
      </w:pPr>
      <w:r>
        <w:t>Lodgement of notice of appeal</w:t>
      </w:r>
    </w:p>
    <w:p w14:paraId="4A682AB3" w14:textId="4E0639B9" w:rsidR="001672CB" w:rsidRPr="002D028F" w:rsidRDefault="00777272" w:rsidP="00C85D80">
      <w:pPr>
        <w:pStyle w:val="MPLParagraphlevel1"/>
        <w:rPr>
          <w:b/>
          <w:color w:val="000000" w:themeColor="text1"/>
        </w:rPr>
      </w:pPr>
      <w:bookmarkStart w:id="4" w:name="_A_person_who"/>
      <w:bookmarkEnd w:id="4"/>
      <w:r w:rsidRPr="1EFA187F">
        <w:rPr>
          <w:color w:val="000000" w:themeColor="text1"/>
        </w:rPr>
        <w:t xml:space="preserve">A </w:t>
      </w:r>
      <w:r w:rsidRPr="1EFA187F">
        <w:rPr>
          <w:color w:val="000000"/>
        </w:rPr>
        <w:t>person</w:t>
      </w:r>
      <w:r w:rsidRPr="1EFA187F">
        <w:rPr>
          <w:color w:val="000000" w:themeColor="text1"/>
        </w:rPr>
        <w:t xml:space="preserve"> who wishes to appeal a decision under section </w:t>
      </w:r>
      <w:hyperlink w:anchor="_A_student_or" w:history="1">
        <w:r w:rsidRPr="1EFA187F">
          <w:rPr>
            <w:color w:val="000000" w:themeColor="text1"/>
          </w:rPr>
          <w:t>4.2</w:t>
        </w:r>
      </w:hyperlink>
      <w:r w:rsidRPr="1EFA187F">
        <w:rPr>
          <w:color w:val="000000" w:themeColor="text1"/>
        </w:rPr>
        <w:t xml:space="preserve"> must lodge a notice of appeal </w:t>
      </w:r>
      <w:r w:rsidRPr="00E0623B">
        <w:rPr>
          <w:color w:val="000000" w:themeColor="text1"/>
        </w:rPr>
        <w:t xml:space="preserve">via the </w:t>
      </w:r>
      <w:hyperlink r:id="rId13">
        <w:r w:rsidRPr="1EFA187F">
          <w:rPr>
            <w:color w:val="000000" w:themeColor="text1"/>
          </w:rPr>
          <w:t>Case Management System</w:t>
        </w:r>
      </w:hyperlink>
      <w:r w:rsidRPr="1EFA187F">
        <w:rPr>
          <w:color w:val="000000" w:themeColor="text1"/>
        </w:rPr>
        <w:t xml:space="preserve"> within 20 University business days of the original decision.</w:t>
      </w:r>
    </w:p>
    <w:p w14:paraId="193AEA99" w14:textId="3F49C839" w:rsidR="001672CB" w:rsidRPr="002D028F" w:rsidRDefault="00777272" w:rsidP="00C85D80">
      <w:pPr>
        <w:pStyle w:val="MPLParagraphlevel1"/>
        <w:rPr>
          <w:b/>
          <w:bCs/>
          <w:color w:val="000000" w:themeColor="text1"/>
        </w:rPr>
      </w:pPr>
      <w:bookmarkStart w:id="5" w:name="_In_accordance_with"/>
      <w:bookmarkEnd w:id="5"/>
      <w:r w:rsidRPr="1EFA187F">
        <w:rPr>
          <w:color w:val="000000" w:themeColor="text1"/>
        </w:rPr>
        <w:t>In accordance with University Regulations, the notice of appeal must:</w:t>
      </w:r>
    </w:p>
    <w:p w14:paraId="0446B3B2" w14:textId="0C9311A5" w:rsidR="001672CB" w:rsidRPr="002D028F" w:rsidRDefault="00777272" w:rsidP="0080502A">
      <w:pPr>
        <w:pStyle w:val="MPLParagraphlevel2"/>
        <w:rPr>
          <w:b/>
        </w:rPr>
      </w:pPr>
      <w:r w:rsidRPr="002D028F">
        <w:t>describe the decision being appealed;</w:t>
      </w:r>
    </w:p>
    <w:p w14:paraId="27686B6A" w14:textId="01189FBE" w:rsidR="001672CB" w:rsidRPr="002D028F" w:rsidRDefault="00777272" w:rsidP="0080502A">
      <w:pPr>
        <w:pStyle w:val="MPLParagraphlevel2"/>
        <w:rPr>
          <w:b/>
        </w:rPr>
      </w:pPr>
      <w:r w:rsidRPr="002D028F">
        <w:t>clearly state the ground or grounds for appeal;</w:t>
      </w:r>
    </w:p>
    <w:p w14:paraId="6BED7A60" w14:textId="28B4E35D" w:rsidR="001672CB" w:rsidRPr="002D028F" w:rsidRDefault="00777272" w:rsidP="0080502A">
      <w:pPr>
        <w:pStyle w:val="MPLParagraphlevel2"/>
        <w:rPr>
          <w:b/>
        </w:rPr>
      </w:pPr>
      <w:r w:rsidRPr="002D028F">
        <w:t>summarise the basis for each ground or grounds;</w:t>
      </w:r>
    </w:p>
    <w:p w14:paraId="107CAFE9" w14:textId="3E832820" w:rsidR="001672CB" w:rsidRPr="002D028F" w:rsidRDefault="00777272" w:rsidP="0080502A">
      <w:pPr>
        <w:pStyle w:val="MPLParagraphlevel2"/>
        <w:rPr>
          <w:b/>
        </w:rPr>
      </w:pPr>
      <w:r w:rsidRPr="002D028F">
        <w:t>attach the notice of the original decision; and</w:t>
      </w:r>
    </w:p>
    <w:p w14:paraId="1A753B03" w14:textId="48A72196" w:rsidR="001672CB" w:rsidRPr="002D028F" w:rsidRDefault="00777272" w:rsidP="0080502A">
      <w:pPr>
        <w:pStyle w:val="MPLParagraphlevel2"/>
        <w:rPr>
          <w:b/>
        </w:rPr>
      </w:pPr>
      <w:r w:rsidRPr="002D028F">
        <w:t>include any relevant material on which the student or eligible person wishes to rely.</w:t>
      </w:r>
    </w:p>
    <w:p w14:paraId="1E65B2DD" w14:textId="566EA3BB" w:rsidR="001672CB" w:rsidRPr="002D028F" w:rsidRDefault="543DA147" w:rsidP="00C85D80">
      <w:pPr>
        <w:pStyle w:val="MPLParagraphlevel1"/>
        <w:rPr>
          <w:b/>
          <w:bCs/>
        </w:rPr>
      </w:pPr>
      <w:r w:rsidRPr="1EFA187F">
        <w:t>Receipt of the notice of appeal</w:t>
      </w:r>
      <w:r w:rsidR="00777272" w:rsidRPr="1EFA187F">
        <w:t xml:space="preserve"> will </w:t>
      </w:r>
      <w:r w:rsidR="46BC6B11" w:rsidRPr="1EFA187F">
        <w:t xml:space="preserve">be </w:t>
      </w:r>
      <w:r w:rsidR="00777272" w:rsidRPr="1EFA187F">
        <w:t>acknowledge</w:t>
      </w:r>
      <w:r w:rsidR="339013E0" w:rsidRPr="1EFA187F">
        <w:t>d</w:t>
      </w:r>
      <w:r w:rsidR="00777272" w:rsidRPr="1EFA187F">
        <w:t xml:space="preserve"> within five University business days of receipt.</w:t>
      </w:r>
    </w:p>
    <w:p w14:paraId="7CFBDE5F" w14:textId="7BC451FC" w:rsidR="00FA1884" w:rsidRPr="002D028F" w:rsidRDefault="00FA1884" w:rsidP="00C85D80">
      <w:pPr>
        <w:pStyle w:val="MPLParagraphlevel1"/>
        <w:rPr>
          <w:b/>
        </w:rPr>
      </w:pPr>
      <w:r w:rsidRPr="1EFA187F">
        <w:lastRenderedPageBreak/>
        <w:t>A student may only submit an appeal on their own behalf</w:t>
      </w:r>
      <w:r w:rsidR="4220F932" w:rsidRPr="1EFA187F">
        <w:t>.</w:t>
      </w:r>
    </w:p>
    <w:p w14:paraId="53F86093" w14:textId="117A27B4" w:rsidR="00FA1884" w:rsidRDefault="000B15C9" w:rsidP="00C85D80">
      <w:pPr>
        <w:pStyle w:val="MPLParagraphlevel1"/>
        <w:rPr>
          <w:color w:val="000000"/>
        </w:rPr>
      </w:pPr>
      <w:r>
        <w:rPr>
          <w:bCs/>
        </w:rPr>
        <w:t>A</w:t>
      </w:r>
      <w:r w:rsidR="45A2BB65" w:rsidRPr="002D028F">
        <w:rPr>
          <w:bCs/>
        </w:rPr>
        <w:t xml:space="preserve"> student may </w:t>
      </w:r>
      <w:r w:rsidR="00FA1884" w:rsidRPr="002D028F">
        <w:rPr>
          <w:bCs/>
        </w:rPr>
        <w:t xml:space="preserve">not </w:t>
      </w:r>
      <w:r w:rsidR="179F2B82" w:rsidRPr="002D028F">
        <w:rPr>
          <w:bCs/>
        </w:rPr>
        <w:t xml:space="preserve">submit an appeal </w:t>
      </w:r>
      <w:r w:rsidR="00FA1884" w:rsidRPr="002D028F">
        <w:rPr>
          <w:bCs/>
        </w:rPr>
        <w:t>on behalf of a group or any other student.</w:t>
      </w:r>
      <w:r w:rsidR="00FA1884" w:rsidRPr="308479A3">
        <w:t xml:space="preserve"> </w:t>
      </w:r>
    </w:p>
    <w:p w14:paraId="3E8B9AC8" w14:textId="1651E97A" w:rsidR="001672CB" w:rsidRDefault="00777272" w:rsidP="003339DB">
      <w:pPr>
        <w:pStyle w:val="MPFSubheading"/>
      </w:pPr>
      <w:r>
        <w:t xml:space="preserve">Consideration of notice </w:t>
      </w:r>
      <w:r w:rsidR="1F416850">
        <w:t>of</w:t>
      </w:r>
      <w:r>
        <w:t xml:space="preserve"> appeal</w:t>
      </w:r>
    </w:p>
    <w:p w14:paraId="70ADC742" w14:textId="4E6E7B8F" w:rsidR="6F225D9D" w:rsidRPr="002C317F" w:rsidRDefault="6F225D9D" w:rsidP="00C85D80">
      <w:pPr>
        <w:pStyle w:val="MPLParagraphlevel1"/>
        <w:rPr>
          <w:b/>
        </w:rPr>
      </w:pPr>
      <w:r w:rsidRPr="002C317F">
        <w:t xml:space="preserve">Appeals </w:t>
      </w:r>
      <w:r w:rsidR="00017904">
        <w:t>relating to s</w:t>
      </w:r>
      <w:r w:rsidR="00017904" w:rsidRPr="002C317F">
        <w:t xml:space="preserve">tudent </w:t>
      </w:r>
      <w:r w:rsidR="00017904">
        <w:t>g</w:t>
      </w:r>
      <w:r w:rsidR="00017904" w:rsidRPr="002C317F">
        <w:t xml:space="preserve">eneral </w:t>
      </w:r>
      <w:r w:rsidR="00017904">
        <w:t>m</w:t>
      </w:r>
      <w:r w:rsidR="00017904" w:rsidRPr="002C317F">
        <w:t xml:space="preserve">isconduct, </w:t>
      </w:r>
      <w:r w:rsidR="00017904">
        <w:t>s</w:t>
      </w:r>
      <w:r w:rsidR="00017904" w:rsidRPr="002C317F">
        <w:t xml:space="preserve">tudent </w:t>
      </w:r>
      <w:r w:rsidR="00017904">
        <w:t>f</w:t>
      </w:r>
      <w:r w:rsidR="00017904" w:rsidRPr="002C317F">
        <w:t xml:space="preserve">itness to </w:t>
      </w:r>
      <w:r w:rsidR="00017904">
        <w:t>s</w:t>
      </w:r>
      <w:r w:rsidR="00017904" w:rsidRPr="002C317F">
        <w:t>tudy</w:t>
      </w:r>
      <w:r w:rsidR="00E2447A">
        <w:t>,</w:t>
      </w:r>
      <w:r w:rsidR="00017904" w:rsidRPr="002C317F">
        <w:t xml:space="preserve"> </w:t>
      </w:r>
      <w:r w:rsidR="00017904">
        <w:t xml:space="preserve">or exclusion for a notifiable disease </w:t>
      </w:r>
      <w:r w:rsidRPr="002C317F">
        <w:t>will be considered by the University Secretary</w:t>
      </w:r>
      <w:r w:rsidR="0034369B">
        <w:t xml:space="preserve"> in accordance with the </w:t>
      </w:r>
      <w:r w:rsidR="00017904">
        <w:t xml:space="preserve">provisions of the </w:t>
      </w:r>
      <w:r w:rsidR="0034369B">
        <w:t>Vice-Chancellor R</w:t>
      </w:r>
      <w:r w:rsidR="00535CC2">
        <w:t>egulation</w:t>
      </w:r>
      <w:r w:rsidR="00017904">
        <w:t>.</w:t>
      </w:r>
    </w:p>
    <w:p w14:paraId="749B1577" w14:textId="1B112990" w:rsidR="00017904" w:rsidRPr="002C317F" w:rsidRDefault="00017904" w:rsidP="00C85D80">
      <w:pPr>
        <w:pStyle w:val="MPLParagraphlevel1"/>
        <w:rPr>
          <w:b/>
        </w:rPr>
      </w:pPr>
      <w:r w:rsidRPr="002C317F">
        <w:t xml:space="preserve">Appeals </w:t>
      </w:r>
      <w:r>
        <w:t xml:space="preserve">relating to </w:t>
      </w:r>
      <w:r w:rsidR="00DF630F">
        <w:t xml:space="preserve">all other matters set out </w:t>
      </w:r>
      <w:r w:rsidR="000F032B">
        <w:t xml:space="preserve">in section </w:t>
      </w:r>
      <w:r w:rsidR="000F032B" w:rsidRPr="00FB6677">
        <w:rPr>
          <w:bCs/>
        </w:rPr>
        <w:t>4.2</w:t>
      </w:r>
      <w:r>
        <w:t xml:space="preserve"> </w:t>
      </w:r>
      <w:r w:rsidRPr="002C317F">
        <w:t xml:space="preserve">will be considered by the </w:t>
      </w:r>
      <w:r w:rsidR="007F616F">
        <w:t xml:space="preserve">Academic </w:t>
      </w:r>
      <w:r w:rsidRPr="002C317F">
        <w:t>Secretary</w:t>
      </w:r>
      <w:r>
        <w:t xml:space="preserve"> in accordance with the provisions of the </w:t>
      </w:r>
      <w:r w:rsidR="00AA56CD">
        <w:t xml:space="preserve">Academic Board </w:t>
      </w:r>
      <w:r>
        <w:t>Regulation.</w:t>
      </w:r>
    </w:p>
    <w:p w14:paraId="0CBDC3F9" w14:textId="1436E166" w:rsidR="001672CB" w:rsidRPr="009E66EF" w:rsidRDefault="00053E1E" w:rsidP="00C85D80">
      <w:pPr>
        <w:pStyle w:val="MPLParagraphlevel1"/>
        <w:rPr>
          <w:b/>
        </w:rPr>
      </w:pPr>
      <w:r w:rsidRPr="1EFA187F">
        <w:t xml:space="preserve">Assessment of a notice of appeal </w:t>
      </w:r>
      <w:r w:rsidR="00E106D2" w:rsidRPr="1EFA187F">
        <w:t xml:space="preserve">lodged under </w:t>
      </w:r>
      <w:r w:rsidR="00E106D2" w:rsidRPr="00FB6677">
        <w:t>4</w:t>
      </w:r>
      <w:r w:rsidR="00C3597D" w:rsidRPr="00FB6677">
        <w:t>.11</w:t>
      </w:r>
      <w:r w:rsidR="00C3597D" w:rsidRPr="1EFA187F">
        <w:t xml:space="preserve"> </w:t>
      </w:r>
      <w:r w:rsidRPr="1EFA187F">
        <w:t xml:space="preserve">will commence within 10 University Business days of lodgement and </w:t>
      </w:r>
      <w:bookmarkStart w:id="6" w:name="_Int_JIBh018l"/>
      <w:r w:rsidRPr="1EFA187F">
        <w:t>be</w:t>
      </w:r>
      <w:bookmarkEnd w:id="6"/>
      <w:r w:rsidRPr="1EFA187F">
        <w:t xml:space="preserve"> finalised as soon as</w:t>
      </w:r>
      <w:r w:rsidR="003D354B" w:rsidRPr="1EFA187F">
        <w:t xml:space="preserve"> reasonably</w:t>
      </w:r>
      <w:r w:rsidRPr="1EFA187F">
        <w:t xml:space="preserve"> practicable.</w:t>
      </w:r>
      <w:r w:rsidR="00491E3D" w:rsidRPr="1EFA187F">
        <w:t xml:space="preserve"> </w:t>
      </w:r>
    </w:p>
    <w:p w14:paraId="6713EEB6" w14:textId="44C4EC8A" w:rsidR="001672CB" w:rsidRPr="009E66EF" w:rsidRDefault="00777272" w:rsidP="00C85D80">
      <w:pPr>
        <w:pStyle w:val="MPLParagraphlevel1"/>
        <w:rPr>
          <w:b/>
        </w:rPr>
      </w:pPr>
      <w:bookmarkStart w:id="7" w:name="_If_the_notice"/>
      <w:bookmarkEnd w:id="7"/>
      <w:r w:rsidRPr="1EFA187F">
        <w:t>If</w:t>
      </w:r>
      <w:r w:rsidR="002C317F" w:rsidRPr="1EFA187F">
        <w:t xml:space="preserve"> </w:t>
      </w:r>
      <w:r w:rsidRPr="1EFA187F">
        <w:t xml:space="preserve">the </w:t>
      </w:r>
      <w:r w:rsidR="002C317F" w:rsidRPr="1EFA187F">
        <w:t xml:space="preserve">notice of </w:t>
      </w:r>
      <w:r w:rsidRPr="1EFA187F">
        <w:t xml:space="preserve">appeal lacks merit, </w:t>
      </w:r>
      <w:r w:rsidR="00FA4861" w:rsidRPr="1EFA187F">
        <w:t xml:space="preserve">the appellant will be provided </w:t>
      </w:r>
      <w:r w:rsidRPr="1EFA187F">
        <w:t xml:space="preserve">notice </w:t>
      </w:r>
      <w:r w:rsidR="00FA4861" w:rsidRPr="1EFA187F">
        <w:t xml:space="preserve">of the intention to </w:t>
      </w:r>
      <w:r w:rsidRPr="1EFA187F">
        <w:t xml:space="preserve">disallow the appeal and the reason for the proposed disallowance. </w:t>
      </w:r>
      <w:r w:rsidR="00FA4861" w:rsidRPr="1EFA187F">
        <w:t>The appellant will be provided</w:t>
      </w:r>
      <w:r w:rsidRPr="1EFA187F">
        <w:t xml:space="preserve"> five (5) University business days to </w:t>
      </w:r>
      <w:r w:rsidR="004A6F0A" w:rsidRPr="1EFA187F">
        <w:t xml:space="preserve">submit </w:t>
      </w:r>
      <w:r w:rsidRPr="1EFA187F">
        <w:t xml:space="preserve">any further information relevant to the appeal. If no further relevant information is provided within five (5) University business days, the </w:t>
      </w:r>
      <w:r w:rsidR="008571A1" w:rsidRPr="1EFA187F">
        <w:t xml:space="preserve">appeal will be disallowed and </w:t>
      </w:r>
      <w:r w:rsidRPr="1EFA187F">
        <w:t>closed.</w:t>
      </w:r>
    </w:p>
    <w:p w14:paraId="0CBE53D3" w14:textId="4EC488CF" w:rsidR="00107688" w:rsidRPr="009E66EF" w:rsidRDefault="00725400" w:rsidP="00C85D80">
      <w:pPr>
        <w:pStyle w:val="MPLParagraphlevel1"/>
        <w:rPr>
          <w:b/>
        </w:rPr>
      </w:pPr>
      <w:r w:rsidRPr="1EFA187F">
        <w:t>Any</w:t>
      </w:r>
      <w:r w:rsidR="00777272" w:rsidRPr="1EFA187F">
        <w:t xml:space="preserve"> further information </w:t>
      </w:r>
      <w:r w:rsidR="0057388B" w:rsidRPr="1EFA187F">
        <w:t xml:space="preserve">provided by the appellant </w:t>
      </w:r>
      <w:r w:rsidR="00777272" w:rsidRPr="1EFA187F">
        <w:t xml:space="preserve">after receiving a notice under </w:t>
      </w:r>
      <w:hyperlink r:id="rId14" w:history="1">
        <w:r w:rsidR="00454CCD" w:rsidRPr="1EFA187F">
          <w:t>4.19</w:t>
        </w:r>
      </w:hyperlink>
      <w:r w:rsidR="00777272" w:rsidRPr="1EFA187F">
        <w:t xml:space="preserve"> must</w:t>
      </w:r>
      <w:r w:rsidR="00992931" w:rsidRPr="1EFA187F">
        <w:t xml:space="preserve"> </w:t>
      </w:r>
      <w:r w:rsidR="0057388B" w:rsidRPr="1EFA187F">
        <w:t xml:space="preserve">be </w:t>
      </w:r>
      <w:r w:rsidR="00777272" w:rsidRPr="1EFA187F">
        <w:t>consider</w:t>
      </w:r>
      <w:r w:rsidR="0057388B" w:rsidRPr="1EFA187F">
        <w:t>ed</w:t>
      </w:r>
      <w:r w:rsidR="00777272" w:rsidRPr="1EFA187F">
        <w:t xml:space="preserve"> </w:t>
      </w:r>
      <w:r w:rsidR="0057388B" w:rsidRPr="1EFA187F">
        <w:t xml:space="preserve">before the final decision to </w:t>
      </w:r>
      <w:r w:rsidR="00777272" w:rsidRPr="1EFA187F">
        <w:t>allow or disallow the appeal</w:t>
      </w:r>
      <w:r w:rsidR="0057388B" w:rsidRPr="1EFA187F">
        <w:t xml:space="preserve"> is made</w:t>
      </w:r>
      <w:r w:rsidR="00777272" w:rsidRPr="1EFA187F">
        <w:t xml:space="preserve">. </w:t>
      </w:r>
      <w:r w:rsidR="00EE3963" w:rsidRPr="1EFA187F">
        <w:t>N</w:t>
      </w:r>
      <w:r w:rsidR="00777272" w:rsidRPr="1EFA187F">
        <w:t xml:space="preserve">otice of </w:t>
      </w:r>
      <w:r w:rsidR="00EE3963" w:rsidRPr="1EFA187F">
        <w:t xml:space="preserve">the </w:t>
      </w:r>
      <w:r w:rsidR="00777272" w:rsidRPr="1EFA187F">
        <w:t xml:space="preserve">decision </w:t>
      </w:r>
      <w:r w:rsidR="00EE3963" w:rsidRPr="1EFA187F">
        <w:t>will</w:t>
      </w:r>
      <w:r w:rsidR="00992931" w:rsidRPr="1EFA187F">
        <w:t xml:space="preserve"> normally</w:t>
      </w:r>
      <w:r w:rsidR="00EE3963" w:rsidRPr="1EFA187F">
        <w:t xml:space="preserve"> be</w:t>
      </w:r>
      <w:r w:rsidR="00FF7561" w:rsidRPr="1EFA187F">
        <w:t xml:space="preserve"> provided </w:t>
      </w:r>
      <w:r w:rsidR="36ABCBAE" w:rsidRPr="1EFA187F">
        <w:t>within 15 University business days</w:t>
      </w:r>
      <w:r w:rsidR="00992931">
        <w:t xml:space="preserve"> </w:t>
      </w:r>
      <w:r w:rsidR="00777272" w:rsidRPr="1EFA187F">
        <w:t>of further information</w:t>
      </w:r>
      <w:r w:rsidR="3F20C39A" w:rsidRPr="1EFA187F">
        <w:t xml:space="preserve"> being provided under 4.19</w:t>
      </w:r>
      <w:r w:rsidR="00777272" w:rsidRPr="1EFA187F">
        <w:t>, and in the case of disallowing the appeal, reasons for the decision</w:t>
      </w:r>
      <w:r w:rsidR="00FF7561" w:rsidRPr="1EFA187F">
        <w:t xml:space="preserve"> will be provided</w:t>
      </w:r>
      <w:r w:rsidR="00A32ED5" w:rsidRPr="1EFA187F">
        <w:t xml:space="preserve"> in writing</w:t>
      </w:r>
      <w:r w:rsidR="00777272" w:rsidRPr="1EFA187F">
        <w:t>.</w:t>
      </w:r>
      <w:r w:rsidR="6907B639" w:rsidRPr="1EFA187F">
        <w:t xml:space="preserve"> Where relevant circumstances </w:t>
      </w:r>
      <w:r w:rsidR="45A3F335" w:rsidRPr="1EFA187F">
        <w:t xml:space="preserve">apply that prevent a decision to allow or disallow an appeal to be made within </w:t>
      </w:r>
      <w:r w:rsidR="6907B639" w:rsidRPr="1EFA187F">
        <w:t>15 University business days</w:t>
      </w:r>
      <w:r w:rsidR="5853843F" w:rsidRPr="1EFA187F">
        <w:t>,</w:t>
      </w:r>
      <w:r w:rsidR="25736792" w:rsidRPr="1EFA187F">
        <w:t xml:space="preserve"> the appellant will be notified in writing</w:t>
      </w:r>
      <w:r w:rsidR="44D2F0B0" w:rsidRPr="1EFA187F">
        <w:t>.</w:t>
      </w:r>
    </w:p>
    <w:p w14:paraId="28FC18AA" w14:textId="560BCD95" w:rsidR="001672CB" w:rsidRPr="009E66EF" w:rsidRDefault="00777272" w:rsidP="00C85D80">
      <w:pPr>
        <w:pStyle w:val="MPLParagraphlevel1"/>
        <w:rPr>
          <w:b/>
        </w:rPr>
      </w:pPr>
      <w:r w:rsidRPr="1EFA187F">
        <w:t xml:space="preserve">If the </w:t>
      </w:r>
      <w:r w:rsidR="00A32ED5" w:rsidRPr="1EFA187F">
        <w:t xml:space="preserve">appeal is allowed, it will be referred </w:t>
      </w:r>
      <w:r w:rsidRPr="1EFA187F">
        <w:t xml:space="preserve">to a student appeal panel </w:t>
      </w:r>
      <w:r w:rsidR="00092153" w:rsidRPr="1EFA187F">
        <w:t>within 15 University business days</w:t>
      </w:r>
      <w:r w:rsidR="00433264" w:rsidRPr="1EFA187F">
        <w:t xml:space="preserve">. The student appeal panel must hear the appeal as soon as reasonably practicable following referral. </w:t>
      </w:r>
    </w:p>
    <w:p w14:paraId="6A4AEFCC" w14:textId="1F5340DC" w:rsidR="001672CB" w:rsidRPr="003503A7" w:rsidRDefault="00777272" w:rsidP="00C85D80">
      <w:pPr>
        <w:pStyle w:val="MPLParagraphlevel1"/>
        <w:rPr>
          <w:b/>
        </w:rPr>
      </w:pPr>
      <w:r w:rsidRPr="1EFA187F">
        <w:t xml:space="preserve">Having regard for the need for fairness to both the University and the appellant, and pending the final determination of the matter, the </w:t>
      </w:r>
      <w:r w:rsidR="00815CEB" w:rsidRPr="1EFA187F">
        <w:t xml:space="preserve">University </w:t>
      </w:r>
      <w:r w:rsidRPr="1EFA187F">
        <w:t xml:space="preserve">Secretary may make one or more of the following interim directions in </w:t>
      </w:r>
      <w:r w:rsidR="00596F73" w:rsidRPr="1EFA187F">
        <w:t xml:space="preserve">student </w:t>
      </w:r>
      <w:r w:rsidRPr="1EFA187F">
        <w:t>general misconduct matters:</w:t>
      </w:r>
    </w:p>
    <w:p w14:paraId="57DE653C" w14:textId="57EC0971" w:rsidR="001672CB" w:rsidRPr="003503A7" w:rsidRDefault="00777272" w:rsidP="0080502A">
      <w:pPr>
        <w:pStyle w:val="MPLParagraphlevel2"/>
        <w:rPr>
          <w:b/>
          <w:bCs/>
          <w:color w:val="000000"/>
        </w:rPr>
      </w:pPr>
      <w:r w:rsidRPr="1EFA187F">
        <w:t>suspend implementation of the decision that is the subject of the appeal;</w:t>
      </w:r>
    </w:p>
    <w:p w14:paraId="09DE9FDE" w14:textId="153325DF" w:rsidR="001672CB" w:rsidRPr="003503A7" w:rsidRDefault="00777272" w:rsidP="0080502A">
      <w:pPr>
        <w:pStyle w:val="MPLParagraphlevel2"/>
        <w:rPr>
          <w:b/>
          <w:bCs/>
          <w:color w:val="000000"/>
        </w:rPr>
      </w:pPr>
      <w:r w:rsidRPr="1EFA187F">
        <w:t>recommend to the Vice-Chancellor that the Vice-Chancellor temporarily withdraw permission for the student to participate in a University activity, or enter or use all or particular University premises or facilities where they consider it necessary for the maintenance of good order; or</w:t>
      </w:r>
    </w:p>
    <w:p w14:paraId="3CA7BECC" w14:textId="66408C1D" w:rsidR="001672CB" w:rsidRPr="003503A7" w:rsidRDefault="00777272" w:rsidP="0080502A">
      <w:pPr>
        <w:pStyle w:val="MPLParagraphlevel2"/>
        <w:rPr>
          <w:b/>
          <w:bCs/>
          <w:color w:val="000000"/>
        </w:rPr>
      </w:pPr>
      <w:r w:rsidRPr="1EFA187F">
        <w:t>any other direction that may be reasonable in the circumstances.</w:t>
      </w:r>
    </w:p>
    <w:p w14:paraId="23075DA5" w14:textId="77777777" w:rsidR="001672CB" w:rsidRDefault="00777272" w:rsidP="003339DB">
      <w:pPr>
        <w:pStyle w:val="MPFSubheading"/>
      </w:pPr>
      <w:r>
        <w:t>Student appeal panel composition</w:t>
      </w:r>
    </w:p>
    <w:p w14:paraId="6CA03D29" w14:textId="2201D481" w:rsidR="001672CB" w:rsidRPr="003D354B" w:rsidRDefault="00777272" w:rsidP="00C050E9">
      <w:pPr>
        <w:pStyle w:val="MPLParagraphlevel1"/>
        <w:rPr>
          <w:b/>
        </w:rPr>
      </w:pPr>
      <w:r w:rsidRPr="1EFA187F">
        <w:t xml:space="preserve">The </w:t>
      </w:r>
      <w:r w:rsidR="004B02AF" w:rsidRPr="1EFA187F">
        <w:t xml:space="preserve">student </w:t>
      </w:r>
      <w:r w:rsidRPr="1EFA187F">
        <w:t>appeal panel membership</w:t>
      </w:r>
      <w:r w:rsidR="004B02AF" w:rsidRPr="1EFA187F">
        <w:t xml:space="preserve"> </w:t>
      </w:r>
      <w:r w:rsidRPr="1EFA187F">
        <w:t>will be as set out in the Academic Board Regulation or the Vice-Chancellor Regulation, whichever applies.</w:t>
      </w:r>
    </w:p>
    <w:p w14:paraId="6E1E1256" w14:textId="191C6611" w:rsidR="00F33B9C" w:rsidRPr="003D354B" w:rsidRDefault="004B02AF" w:rsidP="00C050E9">
      <w:pPr>
        <w:pStyle w:val="MPLParagraphlevel1"/>
        <w:rPr>
          <w:b/>
          <w:bCs/>
        </w:rPr>
      </w:pPr>
      <w:r w:rsidRPr="1EFA187F">
        <w:t xml:space="preserve">Members and </w:t>
      </w:r>
      <w:r w:rsidR="00D4483C" w:rsidRPr="1EFA187F">
        <w:t>the</w:t>
      </w:r>
      <w:r w:rsidRPr="1EFA187F">
        <w:t xml:space="preserve"> chairperson of </w:t>
      </w:r>
      <w:r w:rsidR="288D9C26" w:rsidRPr="1EFA187F">
        <w:t>a</w:t>
      </w:r>
      <w:r w:rsidRPr="1EFA187F">
        <w:t xml:space="preserve"> student appeal panel </w:t>
      </w:r>
      <w:r w:rsidR="042E0357" w:rsidRPr="1EFA187F">
        <w:t xml:space="preserve">established under the Academic Board Regulation </w:t>
      </w:r>
      <w:r w:rsidRPr="1EFA187F">
        <w:t xml:space="preserve">are appointed </w:t>
      </w:r>
      <w:r w:rsidR="318F277F" w:rsidRPr="1EFA187F">
        <w:t xml:space="preserve">by the Academic Secretary. Members </w:t>
      </w:r>
      <w:r w:rsidR="375AFA27" w:rsidRPr="1EFA187F">
        <w:t xml:space="preserve">and the chairperson </w:t>
      </w:r>
      <w:r w:rsidR="318F277F" w:rsidRPr="1EFA187F">
        <w:t xml:space="preserve">of </w:t>
      </w:r>
      <w:r w:rsidR="27EE295C" w:rsidRPr="1EFA187F">
        <w:t xml:space="preserve">a </w:t>
      </w:r>
      <w:r w:rsidR="27EE295C" w:rsidRPr="1EFA187F">
        <w:lastRenderedPageBreak/>
        <w:t>student appeal panel established under the Vice-Chancellor Regulation are appointed by the University Secretary.</w:t>
      </w:r>
    </w:p>
    <w:p w14:paraId="5D62800B" w14:textId="718462A1" w:rsidR="001672CB" w:rsidRPr="003D354B" w:rsidRDefault="00777272" w:rsidP="00C050E9">
      <w:pPr>
        <w:pStyle w:val="MPLParagraphlevel1"/>
        <w:rPr>
          <w:b/>
          <w:bCs/>
        </w:rPr>
      </w:pPr>
      <w:r w:rsidRPr="1EFA187F">
        <w:t>Reasonable steps are taken to ensure the student appeal panel approaches gender balance.</w:t>
      </w:r>
    </w:p>
    <w:p w14:paraId="26D715F1" w14:textId="7EC8AD20" w:rsidR="001672CB" w:rsidRPr="003D354B" w:rsidRDefault="00777272" w:rsidP="00C050E9">
      <w:pPr>
        <w:pStyle w:val="MPLParagraphlevel1"/>
        <w:rPr>
          <w:b/>
          <w:bCs/>
        </w:rPr>
      </w:pPr>
      <w:r w:rsidRPr="1EFA187F">
        <w:t>Wherever practicable, membership of the student appeal panel convened to hear an appeal remains the same throughout the hearing of the matter notwithstanding any adjournment.</w:t>
      </w:r>
    </w:p>
    <w:p w14:paraId="24718044" w14:textId="73A6A187" w:rsidR="001672CB" w:rsidRPr="003D354B" w:rsidRDefault="00777272" w:rsidP="00C050E9">
      <w:pPr>
        <w:pStyle w:val="MPLParagraphlevel1"/>
        <w:rPr>
          <w:b/>
        </w:rPr>
      </w:pPr>
      <w:r w:rsidRPr="1EFA187F">
        <w:t>The student appeal panel must not include anyone who has, or who may reasonably be perceived to have, a bias or conflict of interest in the matter. For avoidance of doubt, a person who was involved in the matter being appealed may not be a member of the student appeal panel and a panel member must not be from the faculty in which the appellant is, was, or would have been enrolled.</w:t>
      </w:r>
    </w:p>
    <w:p w14:paraId="31526FA5" w14:textId="5A8FB074" w:rsidR="001672CB" w:rsidRDefault="00777272" w:rsidP="00394663">
      <w:pPr>
        <w:pStyle w:val="MPLHeading1"/>
      </w:pPr>
      <w:r>
        <w:t>Procedural principles</w:t>
      </w:r>
    </w:p>
    <w:p w14:paraId="4291D699" w14:textId="77777777" w:rsidR="001672CB" w:rsidRDefault="00777272" w:rsidP="00D247E5">
      <w:pPr>
        <w:pStyle w:val="MPFSubheading"/>
      </w:pPr>
      <w:r>
        <w:t>Functions and conduct of the student appeal panel</w:t>
      </w:r>
    </w:p>
    <w:p w14:paraId="6FE27443" w14:textId="55712815" w:rsidR="001672CB" w:rsidRPr="003D354B" w:rsidRDefault="00777272" w:rsidP="00C050E9">
      <w:pPr>
        <w:pStyle w:val="MPLParagraphlevel1"/>
        <w:rPr>
          <w:b/>
        </w:rPr>
      </w:pPr>
      <w:r w:rsidRPr="003D354B">
        <w:t xml:space="preserve">The Academic Secretary </w:t>
      </w:r>
      <w:r w:rsidR="00907422" w:rsidRPr="003D354B">
        <w:t xml:space="preserve">or University Secretary, whichever regulation applies, </w:t>
      </w:r>
      <w:r w:rsidRPr="003D354B">
        <w:t>must appoint a person as secretary to the student appeal panel.</w:t>
      </w:r>
    </w:p>
    <w:p w14:paraId="5D930F85" w14:textId="711B9494" w:rsidR="001672CB" w:rsidRPr="003D354B" w:rsidRDefault="00777272" w:rsidP="00C050E9">
      <w:pPr>
        <w:pStyle w:val="MPLParagraphlevel1"/>
        <w:rPr>
          <w:b/>
        </w:rPr>
      </w:pPr>
      <w:r w:rsidRPr="003D354B">
        <w:t>The student appeal panel secretary may contact the respondent allowing them to submit a report in response to the notice of appeal including any information and documentation relevant to the appeal. The response must be submitted in the timeframe requested by the secretary. If no response is received within the timeframe the hearing will proceed.</w:t>
      </w:r>
    </w:p>
    <w:p w14:paraId="6DC751C8" w14:textId="441FE509" w:rsidR="001672CB" w:rsidRPr="003D354B" w:rsidRDefault="00777272" w:rsidP="00C050E9">
      <w:pPr>
        <w:pStyle w:val="MPLParagraphlevel1"/>
        <w:rPr>
          <w:b/>
        </w:rPr>
      </w:pPr>
      <w:r w:rsidRPr="003D354B">
        <w:t xml:space="preserve">The student appeal panel secretary collates all documents relevant to the appeal hearing and disseminates them to all panel members, the </w:t>
      </w:r>
      <w:r w:rsidR="0086556A">
        <w:t>appellant</w:t>
      </w:r>
      <w:r w:rsidRPr="003D354B">
        <w:t>, and the respondent. The documentation must include: </w:t>
      </w:r>
    </w:p>
    <w:p w14:paraId="1E4E8835" w14:textId="40BCF583" w:rsidR="00DF2559" w:rsidRPr="003D354B" w:rsidRDefault="00777272" w:rsidP="003611C3">
      <w:pPr>
        <w:pStyle w:val="MPLParagraphlevel2"/>
        <w:rPr>
          <w:b/>
        </w:rPr>
      </w:pPr>
      <w:r w:rsidRPr="003D354B">
        <w:t>A meeting notice (agenda) containing the following information:</w:t>
      </w:r>
    </w:p>
    <w:p w14:paraId="4D43B9A2" w14:textId="2763DA71" w:rsidR="00AA7785" w:rsidRPr="00DF2559" w:rsidRDefault="00777272" w:rsidP="00FA4072">
      <w:pPr>
        <w:pStyle w:val="MPLParagraphlevel3"/>
        <w:rPr>
          <w:b/>
        </w:rPr>
      </w:pPr>
      <w:r w:rsidRPr="00DF2559">
        <w:t>a summary of the matter being appealed;</w:t>
      </w:r>
    </w:p>
    <w:p w14:paraId="671EF8A9" w14:textId="6424D8B9" w:rsidR="00AA7785" w:rsidRPr="003D354B" w:rsidRDefault="00777272" w:rsidP="00FA4072">
      <w:pPr>
        <w:pStyle w:val="MPLParagraphlevel3"/>
        <w:rPr>
          <w:b/>
        </w:rPr>
      </w:pPr>
      <w:r w:rsidRPr="003D354B">
        <w:t>the grounds on which the appeal will be heard;</w:t>
      </w:r>
    </w:p>
    <w:p w14:paraId="084CAC16" w14:textId="130D82FD" w:rsidR="00AA7785" w:rsidRPr="003D354B" w:rsidRDefault="00777272" w:rsidP="00FA4072">
      <w:pPr>
        <w:pStyle w:val="MPLParagraphlevel3"/>
        <w:rPr>
          <w:b/>
        </w:rPr>
      </w:pPr>
      <w:r w:rsidRPr="003D354B">
        <w:t>the name of the chair and, where practicable other appeal panel members. Where not practicable the names of other members must be provided to the appellant, as soon as known, by email;</w:t>
      </w:r>
    </w:p>
    <w:p w14:paraId="286AD5B2" w14:textId="11A45C91" w:rsidR="00AA7785" w:rsidRPr="003D354B" w:rsidRDefault="00777272" w:rsidP="00FA4072">
      <w:pPr>
        <w:pStyle w:val="MPLParagraphlevel3"/>
        <w:rPr>
          <w:b/>
        </w:rPr>
      </w:pPr>
      <w:r w:rsidRPr="003D354B">
        <w:t>the time</w:t>
      </w:r>
      <w:r w:rsidR="0086556A">
        <w:t>,</w:t>
      </w:r>
      <w:r w:rsidRPr="003D354B">
        <w:t xml:space="preserve"> date and venue of the hearing;</w:t>
      </w:r>
    </w:p>
    <w:p w14:paraId="129AFDCD" w14:textId="2EB3C6DC" w:rsidR="001672CB" w:rsidRPr="003D354B" w:rsidRDefault="00777272" w:rsidP="00FA4072">
      <w:pPr>
        <w:pStyle w:val="MPLParagraphlevel3"/>
        <w:rPr>
          <w:b/>
        </w:rPr>
      </w:pPr>
      <w:r w:rsidRPr="003D354B">
        <w:t>a list of all documents included in the notice, as listed at 5.3 (b) to (h).</w:t>
      </w:r>
    </w:p>
    <w:p w14:paraId="5F075E76" w14:textId="657C053F" w:rsidR="001672CB" w:rsidRPr="00AA7785" w:rsidRDefault="00777272" w:rsidP="003611C3">
      <w:pPr>
        <w:pStyle w:val="MPLParagraphlevel2"/>
        <w:rPr>
          <w:b/>
          <w:bCs/>
          <w:color w:val="000000"/>
        </w:rPr>
      </w:pPr>
      <w:r w:rsidRPr="1EFA187F">
        <w:t>the notification of the original decision which is the subject of appeal;</w:t>
      </w:r>
    </w:p>
    <w:p w14:paraId="38BFCF87" w14:textId="61E23A85" w:rsidR="001672CB" w:rsidRPr="00AA7785" w:rsidRDefault="00777272" w:rsidP="003611C3">
      <w:pPr>
        <w:pStyle w:val="MPLParagraphlevel2"/>
        <w:rPr>
          <w:b/>
          <w:bCs/>
          <w:color w:val="000000"/>
        </w:rPr>
      </w:pPr>
      <w:r w:rsidRPr="1EFA187F">
        <w:t>the appellant’s notice of appeal and any supporting documentation submitted where deemed relevant by the Academic Secretary</w:t>
      </w:r>
      <w:r w:rsidR="00123161" w:rsidRPr="1EFA187F">
        <w:t xml:space="preserve"> or University Secretary, whichever </w:t>
      </w:r>
      <w:r w:rsidR="00C7481B" w:rsidRPr="1EFA187F">
        <w:t>regulation applies</w:t>
      </w:r>
      <w:r w:rsidRPr="1EFA187F">
        <w:t>;</w:t>
      </w:r>
    </w:p>
    <w:p w14:paraId="31892EC8" w14:textId="3EEBF68E" w:rsidR="001672CB" w:rsidRPr="00AA7785" w:rsidRDefault="00777272" w:rsidP="003611C3">
      <w:pPr>
        <w:pStyle w:val="MPLParagraphlevel2"/>
        <w:rPr>
          <w:b/>
          <w:bCs/>
          <w:color w:val="000000"/>
        </w:rPr>
      </w:pPr>
      <w:r w:rsidRPr="1EFA187F">
        <w:t>the respondent’s report;</w:t>
      </w:r>
    </w:p>
    <w:p w14:paraId="76D48618" w14:textId="319EC0BD" w:rsidR="001672CB" w:rsidRPr="00AA7785" w:rsidRDefault="00777272" w:rsidP="003611C3">
      <w:pPr>
        <w:pStyle w:val="MPLParagraphlevel2"/>
        <w:rPr>
          <w:b/>
          <w:bCs/>
          <w:color w:val="000000"/>
        </w:rPr>
      </w:pPr>
      <w:r w:rsidRPr="1EFA187F">
        <w:rPr>
          <w:color w:val="000000"/>
        </w:rPr>
        <w:t xml:space="preserve">a report from the Course </w:t>
      </w:r>
      <w:r w:rsidR="08AD0BE7" w:rsidRPr="1EFA187F">
        <w:t>Academic</w:t>
      </w:r>
      <w:r w:rsidRPr="1EFA187F">
        <w:rPr>
          <w:color w:val="000000"/>
        </w:rPr>
        <w:t xml:space="preserve"> Progress Committee (for an appeal arising from the </w:t>
      </w:r>
      <w:r w:rsidR="00B15D34" w:rsidRPr="00FD03BB">
        <w:t>Academic Progress Review Policy (Coursework)</w:t>
      </w:r>
      <w:r w:rsidR="00B15D34" w:rsidRPr="1EFA187F">
        <w:t xml:space="preserve"> (</w:t>
      </w:r>
      <w:hyperlink r:id="rId15" w:history="1">
        <w:r w:rsidR="00B15D34" w:rsidRPr="00C47D4A">
          <w:rPr>
            <w:rStyle w:val="Hyperlink"/>
          </w:rPr>
          <w:t>MPF1291</w:t>
        </w:r>
      </w:hyperlink>
      <w:r w:rsidR="00B15D34" w:rsidRPr="1EFA187F">
        <w:t xml:space="preserve">) </w:t>
      </w:r>
      <w:r w:rsidR="002647C0" w:rsidRPr="1EFA187F">
        <w:t xml:space="preserve">or </w:t>
      </w:r>
      <w:r w:rsidR="002647C0" w:rsidRPr="00FD03BB">
        <w:t>Academic Progress Review Policy (Graduate Research)</w:t>
      </w:r>
      <w:r w:rsidR="002647C0" w:rsidRPr="1EFA187F">
        <w:t xml:space="preserve"> (</w:t>
      </w:r>
      <w:hyperlink r:id="rId16" w:history="1">
        <w:r w:rsidR="002647C0" w:rsidRPr="003926BF">
          <w:rPr>
            <w:rStyle w:val="Hyperlink"/>
          </w:rPr>
          <w:t>MPF1363</w:t>
        </w:r>
      </w:hyperlink>
      <w:r w:rsidR="002647C0" w:rsidRPr="1EFA187F">
        <w:t>)</w:t>
      </w:r>
      <w:r w:rsidRPr="1EFA187F">
        <w:rPr>
          <w:color w:val="000000"/>
        </w:rPr>
        <w:t>);</w:t>
      </w:r>
    </w:p>
    <w:p w14:paraId="522945F2" w14:textId="4CC65A34" w:rsidR="001672CB" w:rsidRPr="00AA7785" w:rsidRDefault="00777272" w:rsidP="003611C3">
      <w:pPr>
        <w:pStyle w:val="MPLParagraphlevel2"/>
        <w:rPr>
          <w:b/>
          <w:bCs/>
          <w:color w:val="000000"/>
        </w:rPr>
      </w:pPr>
      <w:r w:rsidRPr="1EFA187F">
        <w:lastRenderedPageBreak/>
        <w:t>the appellant’s student record card (where the appellant is a student or is an applicant who was a student and the record card is relevant to the appeal);</w:t>
      </w:r>
    </w:p>
    <w:p w14:paraId="146D3F3E" w14:textId="707F5993" w:rsidR="001672CB" w:rsidRPr="00AA7785" w:rsidRDefault="00777272" w:rsidP="003611C3">
      <w:pPr>
        <w:pStyle w:val="MPLParagraphlevel2"/>
        <w:rPr>
          <w:b/>
          <w:bCs/>
          <w:color w:val="000000"/>
        </w:rPr>
      </w:pPr>
      <w:r w:rsidRPr="1EFA187F">
        <w:t>references to any relevant regulation, policy or procedure; and</w:t>
      </w:r>
    </w:p>
    <w:p w14:paraId="3E1FD755" w14:textId="609C50B0" w:rsidR="001672CB" w:rsidRPr="00AA7785" w:rsidRDefault="00777272" w:rsidP="003611C3">
      <w:pPr>
        <w:pStyle w:val="MPLParagraphlevel2"/>
        <w:rPr>
          <w:b/>
          <w:bCs/>
          <w:color w:val="000000"/>
        </w:rPr>
      </w:pPr>
      <w:r w:rsidRPr="1EFA187F">
        <w:t>any further evidence or documentation requested by the student appeal panel or the Academic Secretary</w:t>
      </w:r>
      <w:r w:rsidR="005A1201" w:rsidRPr="1EFA187F">
        <w:t xml:space="preserve"> or University Secretary, whichever regulation applies</w:t>
      </w:r>
      <w:r w:rsidRPr="1EFA187F">
        <w:t>.</w:t>
      </w:r>
    </w:p>
    <w:p w14:paraId="6694BF5A" w14:textId="67D06C8B" w:rsidR="001672CB" w:rsidRPr="00AA7785" w:rsidRDefault="00777272" w:rsidP="00C050E9">
      <w:pPr>
        <w:pStyle w:val="MPLParagraphlevel1"/>
        <w:rPr>
          <w:b/>
        </w:rPr>
      </w:pPr>
      <w:r w:rsidRPr="00AA7785">
        <w:t xml:space="preserve">In </w:t>
      </w:r>
      <w:r w:rsidRPr="00AA7785">
        <w:rPr>
          <w:color w:val="000000" w:themeColor="text1"/>
        </w:rPr>
        <w:t>determining</w:t>
      </w:r>
      <w:r w:rsidRPr="00AA7785">
        <w:t xml:space="preserve"> the appeal, the student appeal panel: </w:t>
      </w:r>
    </w:p>
    <w:p w14:paraId="737DD9FA" w14:textId="41E0ECF5" w:rsidR="001672CB" w:rsidRPr="00AA7785" w:rsidRDefault="00777272" w:rsidP="003611C3">
      <w:pPr>
        <w:pStyle w:val="MPLParagraphlevel2"/>
        <w:rPr>
          <w:b/>
        </w:rPr>
      </w:pPr>
      <w:r w:rsidRPr="00AA7785">
        <w:t>must make a majority rule decision;</w:t>
      </w:r>
    </w:p>
    <w:p w14:paraId="3E203672" w14:textId="6CEF5263" w:rsidR="001672CB" w:rsidRPr="00AA7785" w:rsidRDefault="00777272" w:rsidP="003611C3">
      <w:pPr>
        <w:pStyle w:val="MPLParagraphlevel2"/>
        <w:rPr>
          <w:b/>
        </w:rPr>
      </w:pPr>
      <w:r w:rsidRPr="00AA7785">
        <w:t>must make a decision based on a balance of probabilities – that based on the available evidence, a proposition is more likely to be true than not;</w:t>
      </w:r>
    </w:p>
    <w:p w14:paraId="74D5792B" w14:textId="34388292" w:rsidR="001672CB" w:rsidRPr="00AA7785" w:rsidRDefault="00777272" w:rsidP="003611C3">
      <w:pPr>
        <w:pStyle w:val="MPLParagraphlevel2"/>
        <w:rPr>
          <w:b/>
        </w:rPr>
      </w:pPr>
      <w:r w:rsidRPr="00AA7785">
        <w:t xml:space="preserve">must consider new evidence only where it relates to the original decision. For the avoidance of doubt, in the case of unsatisfactory progress material related to performance subsequent to the performance on which the original decision was made is not new evidence as it does not relate to the original decision; </w:t>
      </w:r>
    </w:p>
    <w:p w14:paraId="3C966AF2" w14:textId="76F5F660" w:rsidR="001672CB" w:rsidRPr="00AA7785" w:rsidRDefault="00777272" w:rsidP="003611C3">
      <w:pPr>
        <w:pStyle w:val="MPLParagraphlevel2"/>
        <w:rPr>
          <w:b/>
        </w:rPr>
      </w:pPr>
      <w:r w:rsidRPr="00AA7785">
        <w:t>may follow any procedure it considers appropriate;</w:t>
      </w:r>
    </w:p>
    <w:p w14:paraId="7191975C" w14:textId="54F9AAD3" w:rsidR="001672CB" w:rsidRPr="00AA7785" w:rsidRDefault="00777272" w:rsidP="003611C3">
      <w:pPr>
        <w:pStyle w:val="MPLParagraphlevel2"/>
        <w:rPr>
          <w:b/>
        </w:rPr>
      </w:pPr>
      <w:r w:rsidRPr="00AA7785">
        <w:t>is not bound by the rules of evidence or other technicalities or legal forms, and may inform itself in relation to any matter in any manner it thinks fit;</w:t>
      </w:r>
    </w:p>
    <w:p w14:paraId="79688F44" w14:textId="091B3480" w:rsidR="001672CB" w:rsidRPr="00AA7785" w:rsidRDefault="00777272" w:rsidP="003611C3">
      <w:pPr>
        <w:pStyle w:val="MPLParagraphlevel2"/>
        <w:rPr>
          <w:b/>
        </w:rPr>
      </w:pPr>
      <w:r w:rsidRPr="1EFA187F">
        <w:rPr>
          <w:color w:val="000000" w:themeColor="text1"/>
        </w:rPr>
        <w:t>must act impartially and fairly in all the circumstances, having regard to the requirements of natural justice;</w:t>
      </w:r>
    </w:p>
    <w:p w14:paraId="3B4D24CE" w14:textId="73B9CFCA" w:rsidR="001672CB" w:rsidRPr="00AA7785" w:rsidRDefault="00777272" w:rsidP="003611C3">
      <w:pPr>
        <w:pStyle w:val="MPLParagraphlevel2"/>
        <w:rPr>
          <w:b/>
        </w:rPr>
      </w:pPr>
      <w:r w:rsidRPr="00AA7785">
        <w:t>must consider and make a decision on any relevant material presented or made available to it;</w:t>
      </w:r>
    </w:p>
    <w:p w14:paraId="1989CB7B" w14:textId="3A65688D" w:rsidR="001672CB" w:rsidRPr="00AA7785" w:rsidRDefault="00777272" w:rsidP="003611C3">
      <w:pPr>
        <w:pStyle w:val="MPLParagraphlevel2"/>
        <w:rPr>
          <w:b/>
        </w:rPr>
      </w:pPr>
      <w:r w:rsidRPr="00AA7785">
        <w:t>must give the appellant the opportunity to present material and submissions in support of the appeal and to respond to any other material relating to the appeal;</w:t>
      </w:r>
    </w:p>
    <w:p w14:paraId="564FDC96" w14:textId="5F68BFEA" w:rsidR="001672CB" w:rsidRPr="00AA7785" w:rsidRDefault="00777272" w:rsidP="003611C3">
      <w:pPr>
        <w:pStyle w:val="MPLParagraphlevel2"/>
        <w:rPr>
          <w:b/>
        </w:rPr>
      </w:pPr>
      <w:r w:rsidRPr="00AA7785">
        <w:t>must allow the appellant to be accompanied by a support person who must not be:</w:t>
      </w:r>
    </w:p>
    <w:p w14:paraId="50CE5B74" w14:textId="0B8EEEBC" w:rsidR="001672CB" w:rsidRPr="006E099C" w:rsidRDefault="00777272" w:rsidP="00D247E5">
      <w:pPr>
        <w:pStyle w:val="MPLParagraphlevel3"/>
        <w:rPr>
          <w:b/>
        </w:rPr>
      </w:pPr>
      <w:r w:rsidRPr="006E099C">
        <w:t>a person who was involved in, associated with, or alleged to have been involved in or associated with the matter which is the subject of the appeal; or</w:t>
      </w:r>
    </w:p>
    <w:p w14:paraId="17975FBD" w14:textId="4EC739B4" w:rsidR="001672CB" w:rsidRPr="006E099C" w:rsidRDefault="00777272" w:rsidP="00D247E5">
      <w:pPr>
        <w:pStyle w:val="MPLParagraphlevel3"/>
        <w:rPr>
          <w:b/>
        </w:rPr>
      </w:pPr>
      <w:r w:rsidRPr="006E099C">
        <w:t xml:space="preserve">a qualified legal practitioner unless permitted by the chairperson of the </w:t>
      </w:r>
      <w:r w:rsidR="00532BD1">
        <w:t>panel</w:t>
      </w:r>
      <w:r w:rsidRPr="006E099C">
        <w:t>;</w:t>
      </w:r>
    </w:p>
    <w:p w14:paraId="25408D09" w14:textId="587B2507" w:rsidR="001672CB" w:rsidRPr="006E099C" w:rsidRDefault="00777272" w:rsidP="003611C3">
      <w:pPr>
        <w:pStyle w:val="MPLParagraphlevel2"/>
        <w:rPr>
          <w:b/>
        </w:rPr>
      </w:pPr>
      <w:r w:rsidRPr="006E099C">
        <w:t>must give the respondent the opportunity to present their case;</w:t>
      </w:r>
    </w:p>
    <w:p w14:paraId="386F4EAA" w14:textId="07486266" w:rsidR="001672CB" w:rsidRPr="006E099C" w:rsidRDefault="00777272" w:rsidP="003611C3">
      <w:pPr>
        <w:pStyle w:val="MPLParagraphlevel2"/>
        <w:rPr>
          <w:b/>
        </w:rPr>
      </w:pPr>
      <w:r w:rsidRPr="006E099C">
        <w:t>must not advocate for the student or the University;</w:t>
      </w:r>
    </w:p>
    <w:p w14:paraId="212992AC" w14:textId="7EF3A942" w:rsidR="001672CB" w:rsidRPr="006E099C" w:rsidRDefault="00777272" w:rsidP="003611C3">
      <w:pPr>
        <w:pStyle w:val="MPLParagraphlevel2"/>
        <w:rPr>
          <w:b/>
        </w:rPr>
      </w:pPr>
      <w:r w:rsidRPr="006E099C">
        <w:t>must balance the rights of the appellant with the need for fair and impartial decision-making for all students;</w:t>
      </w:r>
    </w:p>
    <w:p w14:paraId="52EC8BD4" w14:textId="64B150BF" w:rsidR="001672CB" w:rsidRPr="006E099C" w:rsidRDefault="00777272" w:rsidP="003611C3">
      <w:pPr>
        <w:pStyle w:val="MPLParagraphlevel2"/>
        <w:rPr>
          <w:b/>
        </w:rPr>
      </w:pPr>
      <w:r w:rsidRPr="006E099C">
        <w:t>must preserve the academic integrity of programs and standards on behalf of the University;</w:t>
      </w:r>
    </w:p>
    <w:p w14:paraId="57BD1875" w14:textId="14D53DFB" w:rsidR="001672CB" w:rsidRPr="006E099C" w:rsidRDefault="00777272" w:rsidP="003611C3">
      <w:pPr>
        <w:pStyle w:val="MPLParagraphlevel2"/>
        <w:rPr>
          <w:b/>
        </w:rPr>
      </w:pPr>
      <w:r w:rsidRPr="006E099C">
        <w:t xml:space="preserve">must avoid any action which could affect their judgement when dealing with </w:t>
      </w:r>
      <w:r w:rsidR="0013320E" w:rsidRPr="006E099C">
        <w:t>the matters before the student appeal panel</w:t>
      </w:r>
      <w:r w:rsidRPr="006E099C">
        <w:t xml:space="preserve"> and declare any conflict of interest;</w:t>
      </w:r>
    </w:p>
    <w:p w14:paraId="0C60358C" w14:textId="448EAE5B" w:rsidR="001672CB" w:rsidRPr="006E099C" w:rsidRDefault="00777272" w:rsidP="003611C3">
      <w:pPr>
        <w:pStyle w:val="MPLParagraphlevel2"/>
        <w:rPr>
          <w:b/>
        </w:rPr>
      </w:pPr>
      <w:r w:rsidRPr="006E099C">
        <w:t xml:space="preserve">must treat each other, and University staff and students with professionalism, courtesy and respect; </w:t>
      </w:r>
    </w:p>
    <w:p w14:paraId="61F2E4B2" w14:textId="5CDB886F" w:rsidR="001672CB" w:rsidRPr="006E099C" w:rsidRDefault="00777272" w:rsidP="003611C3">
      <w:pPr>
        <w:pStyle w:val="MPLParagraphlevel2"/>
        <w:rPr>
          <w:b/>
        </w:rPr>
      </w:pPr>
      <w:r w:rsidRPr="006E099C">
        <w:t xml:space="preserve">must not improperly influence other </w:t>
      </w:r>
      <w:r w:rsidR="00532BD1">
        <w:t>panel</w:t>
      </w:r>
      <w:r w:rsidR="00532BD1" w:rsidRPr="006E099C">
        <w:t xml:space="preserve"> </w:t>
      </w:r>
      <w:r w:rsidRPr="006E099C">
        <w:t>members; and</w:t>
      </w:r>
    </w:p>
    <w:p w14:paraId="3E3C5A47" w14:textId="6D0DFB63" w:rsidR="001672CB" w:rsidRPr="006E099C" w:rsidRDefault="00777272" w:rsidP="003611C3">
      <w:pPr>
        <w:pStyle w:val="MPLParagraphlevel2"/>
        <w:rPr>
          <w:b/>
        </w:rPr>
      </w:pPr>
      <w:r w:rsidRPr="006E099C">
        <w:t xml:space="preserve">in the case of unsatisfactory progress where a student's enrolment has been terminated by the course academic progress committee, must only allow a student to continue in their course where it forms the view that the student has a credible and workable plan for academic improvement, and has demonstrated evidence in support </w:t>
      </w:r>
      <w:r w:rsidR="00F55B43" w:rsidRPr="006E099C">
        <w:t xml:space="preserve">of </w:t>
      </w:r>
      <w:r w:rsidRPr="006E099C">
        <w:t>the grounds on which they appealed.</w:t>
      </w:r>
    </w:p>
    <w:p w14:paraId="2C6038ED" w14:textId="4C7208D7" w:rsidR="001672CB" w:rsidRPr="006E099C" w:rsidRDefault="00777272" w:rsidP="0065502D">
      <w:pPr>
        <w:pStyle w:val="MPLParagraphlevel1"/>
        <w:rPr>
          <w:b/>
        </w:rPr>
      </w:pPr>
      <w:r w:rsidRPr="006E099C">
        <w:lastRenderedPageBreak/>
        <w:t>The appellant may not send a representative in their place.</w:t>
      </w:r>
    </w:p>
    <w:p w14:paraId="02749B7E" w14:textId="4DC9EDF5" w:rsidR="001672CB" w:rsidRPr="006E099C" w:rsidRDefault="00777272" w:rsidP="0065502D">
      <w:pPr>
        <w:pStyle w:val="MPLParagraphlevel1"/>
        <w:rPr>
          <w:b/>
        </w:rPr>
      </w:pPr>
      <w:r w:rsidRPr="006E099C">
        <w:t>If the appellant fails to appear before the student appeal panel, the matter may be heard and decided in their absence.</w:t>
      </w:r>
    </w:p>
    <w:p w14:paraId="4E7DD783" w14:textId="71280CE2" w:rsidR="001672CB" w:rsidRPr="006E099C" w:rsidRDefault="00777272" w:rsidP="0065502D">
      <w:pPr>
        <w:pStyle w:val="MPLParagraphlevel1"/>
        <w:rPr>
          <w:b/>
        </w:rPr>
      </w:pPr>
      <w:r w:rsidRPr="006E099C">
        <w:t xml:space="preserve">The appellant must notify the </w:t>
      </w:r>
      <w:r w:rsidR="008623E3" w:rsidRPr="003D354B">
        <w:t>secretary to the student appeal panel</w:t>
      </w:r>
      <w:r w:rsidR="00CE2BDE" w:rsidRPr="006E099C">
        <w:t xml:space="preserve"> </w:t>
      </w:r>
      <w:r w:rsidRPr="006E099C">
        <w:t>if they wish to have a specified support person present at the appeal hearing. The notification must be made at least 24 hours before the scheduled hearing.</w:t>
      </w:r>
    </w:p>
    <w:p w14:paraId="4CC192E9" w14:textId="2883203B" w:rsidR="001672CB" w:rsidRPr="006E099C" w:rsidRDefault="00777272" w:rsidP="0065502D">
      <w:pPr>
        <w:pStyle w:val="MPLParagraphlevel1"/>
        <w:rPr>
          <w:b/>
        </w:rPr>
      </w:pPr>
      <w:r w:rsidRPr="006E099C">
        <w:t>A support person may act as an advocate on the appellant’s behalf with the permission of the chairperson, which must not be unreasonably withheld, and the appellant.</w:t>
      </w:r>
    </w:p>
    <w:p w14:paraId="392DC8B7" w14:textId="49784116" w:rsidR="001672CB" w:rsidRPr="006E099C" w:rsidRDefault="00777272" w:rsidP="0065502D">
      <w:pPr>
        <w:pStyle w:val="MPLParagraphlevel1"/>
        <w:rPr>
          <w:b/>
          <w:color w:val="000000"/>
        </w:rPr>
      </w:pPr>
      <w:r w:rsidRPr="006E099C">
        <w:rPr>
          <w:color w:val="000000"/>
        </w:rPr>
        <w:t xml:space="preserve">The chairperson of the student appeal panel may exclude the support person from the hearing </w:t>
      </w:r>
      <w:r w:rsidRPr="006E099C">
        <w:t>if</w:t>
      </w:r>
      <w:r w:rsidRPr="006E099C">
        <w:rPr>
          <w:color w:val="000000"/>
        </w:rPr>
        <w:t xml:space="preserve"> they disrupt or unreasonably impair the conduct of the hearing.</w:t>
      </w:r>
    </w:p>
    <w:p w14:paraId="2C79E6AE" w14:textId="4F1DB273" w:rsidR="001672CB" w:rsidRPr="006E099C" w:rsidRDefault="00777272" w:rsidP="0065502D">
      <w:pPr>
        <w:pStyle w:val="MPLParagraphlevel1"/>
        <w:rPr>
          <w:b/>
        </w:rPr>
      </w:pPr>
      <w:r w:rsidRPr="006E099C">
        <w:t xml:space="preserve">The chairperson may suspend the hearing and reconvene the </w:t>
      </w:r>
      <w:r w:rsidR="00532BD1">
        <w:t>panel</w:t>
      </w:r>
      <w:r w:rsidR="00532BD1" w:rsidRPr="006E099C">
        <w:t xml:space="preserve"> </w:t>
      </w:r>
      <w:r w:rsidRPr="006E099C">
        <w:t>at a later date. Where the chairperson suspends the hearing the same panel must reconvene to decide the matter; the appellant and respondent must be invited to attend.</w:t>
      </w:r>
    </w:p>
    <w:p w14:paraId="5B935EA7" w14:textId="4153D62C" w:rsidR="001672CB" w:rsidRPr="006E099C" w:rsidRDefault="00777272" w:rsidP="0065502D">
      <w:pPr>
        <w:pStyle w:val="MPLParagraphlevel1"/>
        <w:rPr>
          <w:b/>
        </w:rPr>
      </w:pPr>
      <w:r w:rsidRPr="006E099C">
        <w:t>The recording or filming of the student appeal panel proceedings is not permitted.</w:t>
      </w:r>
    </w:p>
    <w:p w14:paraId="3FA30469" w14:textId="484C1B25" w:rsidR="001672CB" w:rsidRPr="006E099C" w:rsidRDefault="00777272" w:rsidP="0065502D">
      <w:pPr>
        <w:pStyle w:val="MPLParagraphlevel1"/>
        <w:rPr>
          <w:b/>
        </w:rPr>
      </w:pPr>
      <w:r w:rsidRPr="006E099C">
        <w:t>The respondent may, at any time before the student appeal panel informs the appellant of its decision, withdraw the original decision on the basis of information provided by the appellant before, or presented at, the hearing.</w:t>
      </w:r>
    </w:p>
    <w:p w14:paraId="6BECFE84" w14:textId="77777777" w:rsidR="001672CB" w:rsidRDefault="00777272" w:rsidP="007973FA">
      <w:pPr>
        <w:pStyle w:val="MPFSubheading"/>
      </w:pPr>
      <w:r>
        <w:t>Decision</w:t>
      </w:r>
    </w:p>
    <w:p w14:paraId="7DED0E01" w14:textId="2ABA2705" w:rsidR="001672CB" w:rsidRPr="006E099C" w:rsidRDefault="00777272" w:rsidP="0065502D">
      <w:pPr>
        <w:pStyle w:val="MPLParagraphlevel1"/>
        <w:rPr>
          <w:b/>
        </w:rPr>
      </w:pPr>
      <w:r w:rsidRPr="006E099C">
        <w:rPr>
          <w:color w:val="000000" w:themeColor="text1"/>
        </w:rPr>
        <w:t>Following</w:t>
      </w:r>
      <w:r w:rsidRPr="006E099C">
        <w:t xml:space="preserve"> the hearing of an appeal, a student appeal panel must: </w:t>
      </w:r>
    </w:p>
    <w:p w14:paraId="0A3F268A" w14:textId="05A98AC3" w:rsidR="001672CB" w:rsidRPr="006E099C" w:rsidRDefault="00777518" w:rsidP="003611C3">
      <w:pPr>
        <w:pStyle w:val="MPLParagraphlevel2"/>
        <w:rPr>
          <w:b/>
        </w:rPr>
      </w:pPr>
      <w:r w:rsidRPr="006E099C">
        <w:t xml:space="preserve">uphold </w:t>
      </w:r>
      <w:r w:rsidR="00777272" w:rsidRPr="006E099C">
        <w:t>the appeal in whole or in part; or </w:t>
      </w:r>
    </w:p>
    <w:p w14:paraId="33B63E72" w14:textId="543D0D1E" w:rsidR="001672CB" w:rsidRPr="006E099C" w:rsidRDefault="00777272" w:rsidP="003611C3">
      <w:pPr>
        <w:pStyle w:val="MPLParagraphlevel2"/>
        <w:rPr>
          <w:b/>
        </w:rPr>
      </w:pPr>
      <w:r w:rsidRPr="006E099C">
        <w:t>dismiss the appeal. </w:t>
      </w:r>
    </w:p>
    <w:p w14:paraId="71866BBC" w14:textId="6C5EF938" w:rsidR="001672CB" w:rsidRPr="006E099C" w:rsidRDefault="00777272" w:rsidP="0065502D">
      <w:pPr>
        <w:pStyle w:val="MPLParagraphlevel1"/>
        <w:rPr>
          <w:b/>
        </w:rPr>
      </w:pPr>
      <w:r w:rsidRPr="006E099C">
        <w:t>If the appeal is dismissed, the student appeal panel must confirm the original decision.</w:t>
      </w:r>
    </w:p>
    <w:p w14:paraId="4CE000B6" w14:textId="17821FED" w:rsidR="001672CB" w:rsidRPr="006E099C" w:rsidRDefault="00777272" w:rsidP="0065502D">
      <w:pPr>
        <w:pStyle w:val="MPLParagraphlevel1"/>
        <w:rPr>
          <w:b/>
        </w:rPr>
      </w:pPr>
      <w:r w:rsidRPr="1EFA187F">
        <w:t xml:space="preserve">If the appeal is </w:t>
      </w:r>
      <w:r w:rsidR="007D21D7" w:rsidRPr="1EFA187F">
        <w:t>upheld</w:t>
      </w:r>
      <w:r w:rsidRPr="1EFA187F">
        <w:t xml:space="preserve"> in whole or in part the student appeal panel may:</w:t>
      </w:r>
    </w:p>
    <w:p w14:paraId="488811DF" w14:textId="4C343BAF" w:rsidR="001672CB" w:rsidRPr="006E099C" w:rsidRDefault="00777272" w:rsidP="003611C3">
      <w:pPr>
        <w:pStyle w:val="MPLParagraphlevel2"/>
        <w:rPr>
          <w:b/>
        </w:rPr>
      </w:pPr>
      <w:r w:rsidRPr="006E099C">
        <w:t>remit the decision to the original decision maker or decision makers for the matter to be reconsidered in light of the student appeal panel’s findings; or</w:t>
      </w:r>
    </w:p>
    <w:p w14:paraId="272263FE" w14:textId="0AE28A5C" w:rsidR="001672CB" w:rsidRPr="006E099C" w:rsidRDefault="00777272" w:rsidP="003611C3">
      <w:pPr>
        <w:pStyle w:val="MPLParagraphlevel2"/>
        <w:rPr>
          <w:b/>
        </w:rPr>
      </w:pPr>
      <w:r w:rsidRPr="1EFA187F">
        <w:rPr>
          <w:color w:val="000000" w:themeColor="text1"/>
        </w:rPr>
        <w:t>set aside any decision or sanction, or substitute or vary any decision or sanction, or apply enrolment conditions, but must not:</w:t>
      </w:r>
    </w:p>
    <w:p w14:paraId="6D62C1CA" w14:textId="4B7E115D" w:rsidR="001672CB" w:rsidRDefault="00777272" w:rsidP="00547122">
      <w:pPr>
        <w:pStyle w:val="MPLParagraphlevel3"/>
      </w:pPr>
      <w:r>
        <w:t>increase the period of any suspension; or</w:t>
      </w:r>
    </w:p>
    <w:p w14:paraId="00B15D45" w14:textId="04182DED" w:rsidR="001672CB" w:rsidRDefault="00777272" w:rsidP="00547122">
      <w:pPr>
        <w:pStyle w:val="MPLParagraphlevel3"/>
      </w:pPr>
      <w:r>
        <w:t>impose any penalty which, in the opinion of the student appeal panel, is more onerous than the original penalty.</w:t>
      </w:r>
    </w:p>
    <w:p w14:paraId="2F53CF59" w14:textId="2FE2A079" w:rsidR="001672CB" w:rsidRPr="001B38FF" w:rsidRDefault="00777272" w:rsidP="0065502D">
      <w:pPr>
        <w:pStyle w:val="MPLParagraphlevel1"/>
        <w:rPr>
          <w:b/>
        </w:rPr>
      </w:pPr>
      <w:r w:rsidRPr="001B38FF">
        <w:t>The student appeal panel must, when deciding and giving notice of its decision, include its reasons for the decision.</w:t>
      </w:r>
    </w:p>
    <w:p w14:paraId="3D465469" w14:textId="56929A59" w:rsidR="001672CB" w:rsidRPr="001B38FF" w:rsidRDefault="00777272" w:rsidP="0065502D">
      <w:pPr>
        <w:pStyle w:val="MPLParagraphlevel1"/>
        <w:rPr>
          <w:b/>
        </w:rPr>
      </w:pPr>
      <w:r w:rsidRPr="1EFA187F">
        <w:t>The student appeal panel must, as soon as practicable after a decision is made, give notice in writing of the student appeal panel's decision to the:</w:t>
      </w:r>
    </w:p>
    <w:p w14:paraId="4E2125A2" w14:textId="51383D38" w:rsidR="001672CB" w:rsidRPr="001B38FF" w:rsidRDefault="00777272" w:rsidP="003611C3">
      <w:pPr>
        <w:pStyle w:val="MPLParagraphlevel2"/>
        <w:rPr>
          <w:b/>
        </w:rPr>
      </w:pPr>
      <w:r w:rsidRPr="001B38FF">
        <w:t>appellant;</w:t>
      </w:r>
    </w:p>
    <w:p w14:paraId="68CBC1AA" w14:textId="5E7316FE" w:rsidR="001672CB" w:rsidRPr="001B38FF" w:rsidRDefault="00777272" w:rsidP="003611C3">
      <w:pPr>
        <w:pStyle w:val="MPLParagraphlevel2"/>
        <w:rPr>
          <w:b/>
        </w:rPr>
      </w:pPr>
      <w:r w:rsidRPr="001B38FF">
        <w:t>original decision makers</w:t>
      </w:r>
    </w:p>
    <w:p w14:paraId="6BD189FF" w14:textId="16D1FC18" w:rsidR="001672CB" w:rsidRPr="001B38FF" w:rsidRDefault="00777272" w:rsidP="0065502D">
      <w:pPr>
        <w:pStyle w:val="MPLParagraphlevel1"/>
        <w:rPr>
          <w:b/>
        </w:rPr>
      </w:pPr>
      <w:r w:rsidRPr="001B38FF">
        <w:lastRenderedPageBreak/>
        <w:t>The student appeal panel must, as soon as practicable after a decision is made, give notice to the appellant of the appellant’s right to apply for external review of the decision.</w:t>
      </w:r>
    </w:p>
    <w:p w14:paraId="60A7E369" w14:textId="10C0EFF4" w:rsidR="001672CB" w:rsidRPr="001B38FF" w:rsidRDefault="00777272" w:rsidP="0065502D">
      <w:pPr>
        <w:pStyle w:val="MPLParagraphlevel1"/>
        <w:rPr>
          <w:b/>
        </w:rPr>
      </w:pPr>
      <w:r w:rsidRPr="001B38FF">
        <w:t>Where the matter is remitted back to the original decision makers, they must review the student appeal panel's findings and reconsider their decision within 10 University business days. Once the decision has been reconsidered, the original decision makers must give notice of their decision in writing to the:</w:t>
      </w:r>
    </w:p>
    <w:p w14:paraId="23CC2304" w14:textId="54C20D35" w:rsidR="001672CB" w:rsidRPr="001B38FF" w:rsidRDefault="00777272" w:rsidP="003611C3">
      <w:pPr>
        <w:pStyle w:val="MPLParagraphlevel2"/>
        <w:rPr>
          <w:b/>
        </w:rPr>
      </w:pPr>
      <w:r w:rsidRPr="001B38FF">
        <w:t>appellant; and</w:t>
      </w:r>
    </w:p>
    <w:p w14:paraId="69680B32" w14:textId="0ACBA569" w:rsidR="001672CB" w:rsidRDefault="00777272" w:rsidP="003611C3">
      <w:pPr>
        <w:pStyle w:val="MPLParagraphlevel2"/>
      </w:pPr>
      <w:r w:rsidRPr="001B38FF">
        <w:t>Academic Secretary</w:t>
      </w:r>
      <w:r w:rsidR="000719A5" w:rsidRPr="001B38FF">
        <w:t xml:space="preserve"> or University Secretary, whichever regulation applies.</w:t>
      </w:r>
    </w:p>
    <w:p w14:paraId="57826696" w14:textId="77777777" w:rsidR="001672CB" w:rsidRDefault="00777272" w:rsidP="007973FA">
      <w:pPr>
        <w:pStyle w:val="MPFSubheading"/>
      </w:pPr>
      <w:r>
        <w:t>External appeal</w:t>
      </w:r>
    </w:p>
    <w:p w14:paraId="40A67823" w14:textId="41956857" w:rsidR="001672CB" w:rsidRPr="001B38FF" w:rsidRDefault="00777272" w:rsidP="0065502D">
      <w:pPr>
        <w:pStyle w:val="MPLParagraphlevel1"/>
        <w:rPr>
          <w:b/>
        </w:rPr>
      </w:pPr>
      <w:r w:rsidRPr="001B38FF">
        <w:t>The decision of the student appeal panel is final and not subject to further review in the University.</w:t>
      </w:r>
    </w:p>
    <w:p w14:paraId="4D5BA2EB" w14:textId="1BD0981E" w:rsidR="001672CB" w:rsidRPr="001B38FF" w:rsidRDefault="00777272" w:rsidP="0065502D">
      <w:pPr>
        <w:pStyle w:val="MPLParagraphlevel1"/>
        <w:rPr>
          <w:b/>
          <w:color w:val="000000"/>
        </w:rPr>
      </w:pPr>
      <w:r w:rsidRPr="001B38FF">
        <w:rPr>
          <w:color w:val="000000"/>
        </w:rPr>
        <w:t>This does not preclude a student seeking an external review of a University decision or process by an appropriate, independent external body such as the Victorian Ombudsman.</w:t>
      </w:r>
    </w:p>
    <w:p w14:paraId="4F85E0CB" w14:textId="77777777" w:rsidR="001672CB" w:rsidRDefault="00777272" w:rsidP="007973FA">
      <w:pPr>
        <w:pStyle w:val="MPFSubheading"/>
      </w:pPr>
      <w:r>
        <w:t>Records</w:t>
      </w:r>
    </w:p>
    <w:p w14:paraId="5E0DBA44" w14:textId="2C686774" w:rsidR="001672CB" w:rsidRPr="001B38FF" w:rsidRDefault="00777272" w:rsidP="0065502D">
      <w:pPr>
        <w:pStyle w:val="MPLParagraphlevel1"/>
        <w:rPr>
          <w:b/>
        </w:rPr>
      </w:pPr>
      <w:r w:rsidRPr="001B38FF">
        <w:t>Where the appellant is a student of the University, the Academic Registrar must ensure that</w:t>
      </w:r>
    </w:p>
    <w:p w14:paraId="4FAF9978" w14:textId="3C559B97" w:rsidR="001672CB" w:rsidRPr="001B38FF" w:rsidRDefault="00777272" w:rsidP="003611C3">
      <w:pPr>
        <w:pStyle w:val="MPLParagraphlevel2"/>
        <w:rPr>
          <w:b/>
          <w:color w:val="000000"/>
        </w:rPr>
      </w:pPr>
      <w:r w:rsidRPr="1EFA187F">
        <w:t>a copy of the outcome letter is placed on the student’s file and</w:t>
      </w:r>
    </w:p>
    <w:p w14:paraId="1E9F7779" w14:textId="3B3ED083" w:rsidR="001672CB" w:rsidRPr="001B38FF" w:rsidRDefault="00777272" w:rsidP="003611C3">
      <w:pPr>
        <w:pStyle w:val="MPLParagraphlevel2"/>
        <w:rPr>
          <w:b/>
          <w:color w:val="000000"/>
        </w:rPr>
      </w:pPr>
      <w:r w:rsidRPr="1EFA187F">
        <w:t>the student’s record card reflects the decision of the student appeal panel; and</w:t>
      </w:r>
    </w:p>
    <w:p w14:paraId="66B71F7E" w14:textId="5DDEF7AE" w:rsidR="001672CB" w:rsidRPr="001B38FF" w:rsidRDefault="00777272" w:rsidP="003611C3">
      <w:pPr>
        <w:pStyle w:val="MPLParagraphlevel2"/>
        <w:rPr>
          <w:b/>
          <w:bCs/>
          <w:color w:val="000000"/>
        </w:rPr>
      </w:pPr>
      <w:r w:rsidRPr="001B38FF">
        <w:rPr>
          <w:bCs/>
          <w:color w:val="000000"/>
        </w:rPr>
        <w:t xml:space="preserve">where relevant, the relevant </w:t>
      </w:r>
      <w:r w:rsidR="001A1494" w:rsidRPr="001B38FF">
        <w:rPr>
          <w:bCs/>
          <w:color w:val="000000"/>
        </w:rPr>
        <w:t xml:space="preserve">Commonwealth </w:t>
      </w:r>
      <w:r w:rsidRPr="001B38FF">
        <w:rPr>
          <w:bCs/>
          <w:color w:val="000000"/>
        </w:rPr>
        <w:t>department is notified of any change to a student’s visa status.</w:t>
      </w:r>
    </w:p>
    <w:p w14:paraId="1A400A01" w14:textId="4DD0BE87" w:rsidR="001672CB" w:rsidRPr="001B38FF" w:rsidRDefault="00777272" w:rsidP="0065502D">
      <w:pPr>
        <w:pStyle w:val="MPLParagraphlevel1"/>
        <w:rPr>
          <w:b/>
        </w:rPr>
      </w:pPr>
      <w:r w:rsidRPr="001B38FF">
        <w:t>The Academic Secretary must ensure that complete records of all appeal hearings are maintained in the Case Management System and meet the requirements of the University’s records policy.</w:t>
      </w:r>
    </w:p>
    <w:p w14:paraId="25CC8B0D" w14:textId="5AAFA8AF" w:rsidR="001672CB" w:rsidRPr="001B38FF" w:rsidRDefault="00777272" w:rsidP="0065502D">
      <w:pPr>
        <w:pStyle w:val="MPLParagraphlevel1"/>
        <w:rPr>
          <w:b/>
        </w:rPr>
      </w:pPr>
      <w:r w:rsidRPr="1EFA187F">
        <w:rPr>
          <w:color w:val="000000" w:themeColor="text1"/>
        </w:rPr>
        <w:t>The Academic Secretary must submit an annual report of outcomes of appeals to the Board.</w:t>
      </w:r>
    </w:p>
    <w:p w14:paraId="0D3C4427" w14:textId="7197BD0F" w:rsidR="001B38FF" w:rsidRPr="00FC4FEF" w:rsidRDefault="00777272" w:rsidP="00FC4FEF">
      <w:pPr>
        <w:pStyle w:val="MPLParagraphlevel1"/>
        <w:rPr>
          <w:b/>
        </w:rPr>
      </w:pPr>
      <w:r w:rsidRPr="1EFA187F">
        <w:rPr>
          <w:color w:val="000000" w:themeColor="text1"/>
        </w:rPr>
        <w:t>Following each appeal arising from academic progress review decisions, the Academic Secretary notifies Student Administration of any student appeal outcome which changes the academic progress review outcome, or the outcome remains termination of enrolment.</w:t>
      </w:r>
    </w:p>
    <w:p w14:paraId="050E7B7E" w14:textId="009D7CFA" w:rsidR="001672CB" w:rsidRDefault="00777272" w:rsidP="00394663">
      <w:pPr>
        <w:pStyle w:val="MPLHeading1"/>
      </w:pPr>
      <w:r>
        <w:t>Roles and responsibilities</w:t>
      </w:r>
    </w:p>
    <w:tbl>
      <w:tblPr>
        <w:tblW w:w="5000" w:type="pct"/>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2747"/>
        <w:gridCol w:w="2377"/>
        <w:gridCol w:w="3500"/>
      </w:tblGrid>
      <w:tr w:rsidR="001672CB" w:rsidRPr="008865D6" w14:paraId="45912F99" w14:textId="77777777" w:rsidTr="00930868">
        <w:tc>
          <w:tcPr>
            <w:tcW w:w="1593" w:type="pct"/>
            <w:tcBorders>
              <w:top w:val="outset" w:sz="6" w:space="0" w:color="auto"/>
              <w:left w:val="outset" w:sz="6" w:space="0" w:color="auto"/>
              <w:bottom w:val="outset" w:sz="6" w:space="0" w:color="auto"/>
              <w:right w:val="outset" w:sz="6" w:space="0" w:color="auto"/>
            </w:tcBorders>
          </w:tcPr>
          <w:p w14:paraId="17A437F7" w14:textId="77777777" w:rsidR="001672CB" w:rsidRPr="008865D6" w:rsidRDefault="00777272">
            <w:pPr>
              <w:rPr>
                <w:rFonts w:ascii="Source Sans Pro" w:eastAsia="Arial" w:hAnsi="Source Sans Pro" w:cs="Arial"/>
                <w:color w:val="000000"/>
                <w:sz w:val="20"/>
                <w:szCs w:val="20"/>
              </w:rPr>
            </w:pPr>
            <w:r w:rsidRPr="008865D6">
              <w:rPr>
                <w:rFonts w:ascii="Source Sans Pro" w:eastAsia="Arial" w:hAnsi="Source Sans Pro" w:cs="Arial"/>
                <w:i/>
                <w:iCs/>
                <w:color w:val="000000"/>
                <w:sz w:val="20"/>
                <w:szCs w:val="20"/>
              </w:rPr>
              <w:t>Role/Decision/Action</w:t>
            </w:r>
          </w:p>
        </w:tc>
        <w:tc>
          <w:tcPr>
            <w:tcW w:w="1378" w:type="pct"/>
            <w:tcBorders>
              <w:top w:val="outset" w:sz="6" w:space="0" w:color="auto"/>
              <w:left w:val="outset" w:sz="6" w:space="0" w:color="auto"/>
              <w:bottom w:val="outset" w:sz="6" w:space="0" w:color="auto"/>
              <w:right w:val="outset" w:sz="6" w:space="0" w:color="auto"/>
            </w:tcBorders>
          </w:tcPr>
          <w:p w14:paraId="1203B222" w14:textId="77777777" w:rsidR="001672CB" w:rsidRPr="008865D6" w:rsidRDefault="00777272">
            <w:pPr>
              <w:rPr>
                <w:rFonts w:ascii="Source Sans Pro" w:eastAsia="Arial" w:hAnsi="Source Sans Pro" w:cs="Arial"/>
                <w:color w:val="000000"/>
                <w:sz w:val="20"/>
                <w:szCs w:val="20"/>
              </w:rPr>
            </w:pPr>
            <w:r w:rsidRPr="008865D6">
              <w:rPr>
                <w:rFonts w:ascii="Source Sans Pro" w:eastAsia="Arial" w:hAnsi="Source Sans Pro" w:cs="Arial"/>
                <w:i/>
                <w:iCs/>
                <w:color w:val="000000"/>
                <w:sz w:val="20"/>
                <w:szCs w:val="20"/>
              </w:rPr>
              <w:t>Responsibility</w:t>
            </w:r>
          </w:p>
        </w:tc>
        <w:tc>
          <w:tcPr>
            <w:tcW w:w="2029" w:type="pct"/>
            <w:tcBorders>
              <w:top w:val="outset" w:sz="6" w:space="0" w:color="auto"/>
              <w:left w:val="outset" w:sz="6" w:space="0" w:color="auto"/>
              <w:bottom w:val="outset" w:sz="6" w:space="0" w:color="auto"/>
              <w:right w:val="outset" w:sz="6" w:space="0" w:color="auto"/>
            </w:tcBorders>
          </w:tcPr>
          <w:p w14:paraId="32D58D0E" w14:textId="77777777" w:rsidR="001672CB" w:rsidRPr="008865D6" w:rsidRDefault="00777272">
            <w:pPr>
              <w:rPr>
                <w:rFonts w:ascii="Source Sans Pro" w:eastAsia="Arial" w:hAnsi="Source Sans Pro" w:cs="Arial"/>
                <w:color w:val="000000"/>
                <w:sz w:val="20"/>
                <w:szCs w:val="20"/>
              </w:rPr>
            </w:pPr>
            <w:r w:rsidRPr="008865D6">
              <w:rPr>
                <w:rFonts w:ascii="Source Sans Pro" w:eastAsia="Arial" w:hAnsi="Source Sans Pro" w:cs="Arial"/>
                <w:i/>
                <w:iCs/>
                <w:color w:val="000000"/>
                <w:sz w:val="20"/>
                <w:szCs w:val="20"/>
              </w:rPr>
              <w:t>Conditions and limitations</w:t>
            </w:r>
          </w:p>
        </w:tc>
      </w:tr>
      <w:tr w:rsidR="001672CB" w:rsidRPr="008865D6" w14:paraId="45747F02" w14:textId="77777777" w:rsidTr="00930868">
        <w:tc>
          <w:tcPr>
            <w:tcW w:w="1593" w:type="pct"/>
            <w:tcBorders>
              <w:top w:val="outset" w:sz="6" w:space="0" w:color="auto"/>
              <w:left w:val="outset" w:sz="6" w:space="0" w:color="auto"/>
              <w:bottom w:val="outset" w:sz="6" w:space="0" w:color="auto"/>
              <w:right w:val="outset" w:sz="6" w:space="0" w:color="auto"/>
            </w:tcBorders>
          </w:tcPr>
          <w:p w14:paraId="6DDBCE6E" w14:textId="77777777" w:rsidR="001672CB" w:rsidRPr="008865D6" w:rsidRDefault="00777272">
            <w:pPr>
              <w:rPr>
                <w:rFonts w:ascii="Source Sans Pro" w:eastAsia="Arial" w:hAnsi="Source Sans Pro" w:cs="Arial"/>
                <w:color w:val="000000"/>
                <w:sz w:val="20"/>
                <w:szCs w:val="20"/>
              </w:rPr>
            </w:pPr>
            <w:r w:rsidRPr="008865D6">
              <w:rPr>
                <w:rFonts w:ascii="Source Sans Pro" w:eastAsia="Arial" w:hAnsi="Source Sans Pro" w:cs="Arial"/>
                <w:color w:val="000000"/>
                <w:sz w:val="20"/>
                <w:szCs w:val="20"/>
              </w:rPr>
              <w:t>Acknowledge receipt of appeal</w:t>
            </w:r>
          </w:p>
        </w:tc>
        <w:tc>
          <w:tcPr>
            <w:tcW w:w="1378" w:type="pct"/>
            <w:tcBorders>
              <w:top w:val="outset" w:sz="6" w:space="0" w:color="auto"/>
              <w:left w:val="outset" w:sz="6" w:space="0" w:color="auto"/>
              <w:bottom w:val="outset" w:sz="6" w:space="0" w:color="auto"/>
              <w:right w:val="outset" w:sz="6" w:space="0" w:color="auto"/>
            </w:tcBorders>
          </w:tcPr>
          <w:p w14:paraId="248B479A" w14:textId="31C89E68" w:rsidR="001672CB" w:rsidRPr="008865D6" w:rsidRDefault="00A4082F">
            <w:pPr>
              <w:rPr>
                <w:rFonts w:ascii="Source Sans Pro" w:eastAsia="Arial" w:hAnsi="Source Sans Pro" w:cs="Arial"/>
                <w:color w:val="000000"/>
                <w:sz w:val="20"/>
                <w:szCs w:val="20"/>
              </w:rPr>
            </w:pPr>
            <w:r w:rsidRPr="008865D6">
              <w:rPr>
                <w:rFonts w:ascii="Source Sans Pro" w:eastAsia="Arial" w:hAnsi="Source Sans Pro" w:cs="Arial"/>
                <w:color w:val="000000"/>
                <w:sz w:val="20"/>
                <w:szCs w:val="20"/>
              </w:rPr>
              <w:t>University Secretary or Academic Secretary</w:t>
            </w:r>
            <w:r w:rsidRPr="008865D6" w:rsidDel="00A4082F">
              <w:rPr>
                <w:rFonts w:ascii="Source Sans Pro" w:eastAsia="Arial" w:hAnsi="Source Sans Pro" w:cs="Arial"/>
                <w:color w:val="000000"/>
                <w:sz w:val="20"/>
                <w:szCs w:val="20"/>
              </w:rPr>
              <w:t xml:space="preserve"> </w:t>
            </w:r>
            <w:r w:rsidR="00777272" w:rsidRPr="008865D6">
              <w:rPr>
                <w:rFonts w:ascii="Source Sans Pro" w:eastAsia="Arial" w:hAnsi="Source Sans Pro" w:cs="Arial"/>
                <w:color w:val="000000"/>
                <w:sz w:val="20"/>
                <w:szCs w:val="20"/>
              </w:rPr>
              <w:t>or a person authorised to act</w:t>
            </w:r>
          </w:p>
        </w:tc>
        <w:tc>
          <w:tcPr>
            <w:tcW w:w="2029" w:type="pct"/>
            <w:tcBorders>
              <w:top w:val="outset" w:sz="6" w:space="0" w:color="auto"/>
              <w:left w:val="outset" w:sz="6" w:space="0" w:color="auto"/>
              <w:bottom w:val="outset" w:sz="6" w:space="0" w:color="auto"/>
              <w:right w:val="outset" w:sz="6" w:space="0" w:color="auto"/>
            </w:tcBorders>
          </w:tcPr>
          <w:p w14:paraId="0E469951" w14:textId="77777777" w:rsidR="001672CB" w:rsidRPr="008865D6" w:rsidRDefault="00777272">
            <w:pPr>
              <w:rPr>
                <w:rFonts w:ascii="Source Sans Pro" w:eastAsia="Arial" w:hAnsi="Source Sans Pro" w:cs="Arial"/>
                <w:color w:val="000000"/>
                <w:sz w:val="20"/>
                <w:szCs w:val="20"/>
              </w:rPr>
            </w:pPr>
            <w:r w:rsidRPr="008865D6">
              <w:rPr>
                <w:rFonts w:ascii="Source Sans Pro" w:eastAsia="Arial" w:hAnsi="Source Sans Pro" w:cs="Arial"/>
                <w:color w:val="000000"/>
                <w:sz w:val="20"/>
                <w:szCs w:val="20"/>
              </w:rPr>
              <w:t> </w:t>
            </w:r>
          </w:p>
        </w:tc>
      </w:tr>
      <w:tr w:rsidR="001672CB" w:rsidRPr="008865D6" w14:paraId="5E60DE61" w14:textId="77777777" w:rsidTr="00930868">
        <w:tc>
          <w:tcPr>
            <w:tcW w:w="1593" w:type="pct"/>
            <w:tcBorders>
              <w:top w:val="outset" w:sz="6" w:space="0" w:color="auto"/>
              <w:left w:val="outset" w:sz="6" w:space="0" w:color="auto"/>
              <w:bottom w:val="outset" w:sz="6" w:space="0" w:color="auto"/>
              <w:right w:val="outset" w:sz="6" w:space="0" w:color="auto"/>
            </w:tcBorders>
          </w:tcPr>
          <w:p w14:paraId="21394D9D" w14:textId="77777777" w:rsidR="001672CB" w:rsidRPr="008865D6" w:rsidRDefault="00777272">
            <w:pPr>
              <w:rPr>
                <w:rFonts w:ascii="Source Sans Pro" w:eastAsia="Arial" w:hAnsi="Source Sans Pro" w:cs="Arial"/>
                <w:color w:val="000000"/>
                <w:sz w:val="20"/>
                <w:szCs w:val="20"/>
              </w:rPr>
            </w:pPr>
            <w:r w:rsidRPr="008865D6">
              <w:rPr>
                <w:rFonts w:ascii="Source Sans Pro" w:eastAsia="Arial" w:hAnsi="Source Sans Pro" w:cs="Arial"/>
                <w:color w:val="000000"/>
                <w:sz w:val="20"/>
                <w:szCs w:val="20"/>
              </w:rPr>
              <w:t>Consideration of notice of appeal</w:t>
            </w:r>
          </w:p>
        </w:tc>
        <w:tc>
          <w:tcPr>
            <w:tcW w:w="1378" w:type="pct"/>
            <w:tcBorders>
              <w:top w:val="outset" w:sz="6" w:space="0" w:color="auto"/>
              <w:left w:val="outset" w:sz="6" w:space="0" w:color="auto"/>
              <w:bottom w:val="outset" w:sz="6" w:space="0" w:color="auto"/>
              <w:right w:val="outset" w:sz="6" w:space="0" w:color="auto"/>
            </w:tcBorders>
          </w:tcPr>
          <w:p w14:paraId="2E634A5E" w14:textId="70199557" w:rsidR="001672CB" w:rsidRPr="008865D6" w:rsidRDefault="00A4082F" w:rsidP="00A4082F">
            <w:pPr>
              <w:rPr>
                <w:rFonts w:ascii="Source Sans Pro" w:eastAsia="Arial" w:hAnsi="Source Sans Pro" w:cs="Arial"/>
                <w:color w:val="000000"/>
                <w:sz w:val="20"/>
                <w:szCs w:val="20"/>
              </w:rPr>
            </w:pPr>
            <w:r w:rsidRPr="008865D6">
              <w:rPr>
                <w:rFonts w:ascii="Source Sans Pro" w:eastAsia="Arial" w:hAnsi="Source Sans Pro" w:cs="Arial"/>
                <w:color w:val="000000"/>
                <w:sz w:val="20"/>
                <w:szCs w:val="20"/>
              </w:rPr>
              <w:t xml:space="preserve">University Secretary or </w:t>
            </w:r>
            <w:r w:rsidR="00777272" w:rsidRPr="008865D6">
              <w:rPr>
                <w:rFonts w:ascii="Source Sans Pro" w:eastAsia="Arial" w:hAnsi="Source Sans Pro" w:cs="Arial"/>
                <w:color w:val="000000"/>
                <w:sz w:val="20"/>
                <w:szCs w:val="20"/>
              </w:rPr>
              <w:t>Academic Secretary</w:t>
            </w:r>
          </w:p>
        </w:tc>
        <w:tc>
          <w:tcPr>
            <w:tcW w:w="2029" w:type="pct"/>
            <w:tcBorders>
              <w:top w:val="outset" w:sz="6" w:space="0" w:color="auto"/>
              <w:left w:val="outset" w:sz="6" w:space="0" w:color="auto"/>
              <w:bottom w:val="outset" w:sz="6" w:space="0" w:color="auto"/>
              <w:right w:val="outset" w:sz="6" w:space="0" w:color="auto"/>
            </w:tcBorders>
          </w:tcPr>
          <w:p w14:paraId="3228B2D2" w14:textId="1595C37E" w:rsidR="001672CB" w:rsidRPr="008865D6" w:rsidRDefault="00777272">
            <w:pPr>
              <w:rPr>
                <w:rFonts w:ascii="Source Sans Pro" w:eastAsia="Arial" w:hAnsi="Source Sans Pro" w:cs="Arial"/>
                <w:color w:val="000000"/>
                <w:sz w:val="20"/>
                <w:szCs w:val="20"/>
              </w:rPr>
            </w:pPr>
            <w:r w:rsidRPr="008865D6">
              <w:rPr>
                <w:rFonts w:ascii="Source Sans Pro" w:eastAsia="Arial" w:hAnsi="Source Sans Pro" w:cs="Arial"/>
                <w:color w:val="000000"/>
                <w:sz w:val="20"/>
                <w:szCs w:val="20"/>
              </w:rPr>
              <w:t>Must be in accordance with sections 4.1</w:t>
            </w:r>
            <w:r w:rsidR="00B70222" w:rsidRPr="008865D6">
              <w:rPr>
                <w:rFonts w:ascii="Source Sans Pro" w:eastAsia="Arial" w:hAnsi="Source Sans Pro" w:cs="Arial"/>
                <w:color w:val="000000"/>
                <w:sz w:val="20"/>
                <w:szCs w:val="20"/>
              </w:rPr>
              <w:t>6</w:t>
            </w:r>
            <w:r w:rsidRPr="008865D6">
              <w:rPr>
                <w:rFonts w:ascii="Source Sans Pro" w:eastAsia="Arial" w:hAnsi="Source Sans Pro" w:cs="Arial"/>
                <w:color w:val="000000"/>
                <w:sz w:val="20"/>
                <w:szCs w:val="20"/>
              </w:rPr>
              <w:t>-4.</w:t>
            </w:r>
            <w:r w:rsidR="00B70222" w:rsidRPr="008865D6">
              <w:rPr>
                <w:rFonts w:ascii="Source Sans Pro" w:eastAsia="Arial" w:hAnsi="Source Sans Pro" w:cs="Arial"/>
                <w:color w:val="000000"/>
                <w:sz w:val="20"/>
                <w:szCs w:val="20"/>
              </w:rPr>
              <w:t>22</w:t>
            </w:r>
          </w:p>
        </w:tc>
      </w:tr>
      <w:tr w:rsidR="001672CB" w:rsidRPr="008865D6" w14:paraId="18256F27" w14:textId="77777777" w:rsidTr="00930868">
        <w:tc>
          <w:tcPr>
            <w:tcW w:w="1593" w:type="pct"/>
            <w:tcBorders>
              <w:top w:val="outset" w:sz="6" w:space="0" w:color="auto"/>
              <w:left w:val="outset" w:sz="6" w:space="0" w:color="auto"/>
              <w:bottom w:val="outset" w:sz="6" w:space="0" w:color="auto"/>
              <w:right w:val="outset" w:sz="6" w:space="0" w:color="auto"/>
            </w:tcBorders>
          </w:tcPr>
          <w:p w14:paraId="45402301" w14:textId="77777777" w:rsidR="001672CB" w:rsidRPr="008865D6" w:rsidRDefault="00777272">
            <w:pPr>
              <w:rPr>
                <w:rFonts w:ascii="Source Sans Pro" w:eastAsia="Arial" w:hAnsi="Source Sans Pro" w:cs="Arial"/>
                <w:color w:val="000000"/>
                <w:sz w:val="20"/>
                <w:szCs w:val="20"/>
              </w:rPr>
            </w:pPr>
            <w:r w:rsidRPr="008865D6">
              <w:rPr>
                <w:rFonts w:ascii="Source Sans Pro" w:eastAsia="Arial" w:hAnsi="Source Sans Pro" w:cs="Arial"/>
                <w:color w:val="000000"/>
                <w:sz w:val="20"/>
                <w:szCs w:val="20"/>
              </w:rPr>
              <w:t>Dismiss the appeal without a hearing</w:t>
            </w:r>
          </w:p>
        </w:tc>
        <w:tc>
          <w:tcPr>
            <w:tcW w:w="1378" w:type="pct"/>
            <w:tcBorders>
              <w:top w:val="outset" w:sz="6" w:space="0" w:color="auto"/>
              <w:left w:val="outset" w:sz="6" w:space="0" w:color="auto"/>
              <w:bottom w:val="outset" w:sz="6" w:space="0" w:color="auto"/>
              <w:right w:val="outset" w:sz="6" w:space="0" w:color="auto"/>
            </w:tcBorders>
          </w:tcPr>
          <w:p w14:paraId="488BA931" w14:textId="7871C372" w:rsidR="001672CB" w:rsidRPr="008865D6" w:rsidRDefault="00A4082F">
            <w:pPr>
              <w:rPr>
                <w:rFonts w:ascii="Source Sans Pro" w:eastAsia="Arial" w:hAnsi="Source Sans Pro" w:cs="Arial"/>
                <w:color w:val="000000"/>
                <w:sz w:val="20"/>
                <w:szCs w:val="20"/>
              </w:rPr>
            </w:pPr>
            <w:r w:rsidRPr="008865D6">
              <w:rPr>
                <w:rFonts w:ascii="Source Sans Pro" w:eastAsia="Arial" w:hAnsi="Source Sans Pro" w:cs="Arial"/>
                <w:color w:val="000000"/>
                <w:sz w:val="20"/>
                <w:szCs w:val="20"/>
              </w:rPr>
              <w:t>University Secretary or Academic Secretary</w:t>
            </w:r>
          </w:p>
        </w:tc>
        <w:tc>
          <w:tcPr>
            <w:tcW w:w="2029" w:type="pct"/>
            <w:tcBorders>
              <w:top w:val="outset" w:sz="6" w:space="0" w:color="auto"/>
              <w:left w:val="outset" w:sz="6" w:space="0" w:color="auto"/>
              <w:bottom w:val="outset" w:sz="6" w:space="0" w:color="auto"/>
              <w:right w:val="outset" w:sz="6" w:space="0" w:color="auto"/>
            </w:tcBorders>
          </w:tcPr>
          <w:p w14:paraId="30E68FBF" w14:textId="4337FC9E" w:rsidR="001672CB" w:rsidRPr="008865D6" w:rsidRDefault="00777272">
            <w:pPr>
              <w:rPr>
                <w:rFonts w:ascii="Source Sans Pro" w:eastAsia="Arial" w:hAnsi="Source Sans Pro" w:cs="Arial"/>
                <w:color w:val="000000"/>
                <w:sz w:val="20"/>
                <w:szCs w:val="20"/>
              </w:rPr>
            </w:pPr>
            <w:r w:rsidRPr="008865D6">
              <w:rPr>
                <w:rFonts w:ascii="Source Sans Pro" w:eastAsia="Arial" w:hAnsi="Source Sans Pro" w:cs="Arial"/>
                <w:color w:val="000000"/>
                <w:sz w:val="20"/>
                <w:szCs w:val="20"/>
              </w:rPr>
              <w:t>Must be in accordance with section 4.1</w:t>
            </w:r>
            <w:r w:rsidR="00B70222" w:rsidRPr="008865D6">
              <w:rPr>
                <w:rFonts w:ascii="Source Sans Pro" w:eastAsia="Arial" w:hAnsi="Source Sans Pro" w:cs="Arial"/>
                <w:color w:val="000000"/>
                <w:sz w:val="20"/>
                <w:szCs w:val="20"/>
              </w:rPr>
              <w:t>6</w:t>
            </w:r>
            <w:r w:rsidRPr="008865D6">
              <w:rPr>
                <w:rFonts w:ascii="Source Sans Pro" w:eastAsia="Arial" w:hAnsi="Source Sans Pro" w:cs="Arial"/>
                <w:color w:val="000000"/>
                <w:sz w:val="20"/>
                <w:szCs w:val="20"/>
              </w:rPr>
              <w:t xml:space="preserve"> and 4.</w:t>
            </w:r>
            <w:r w:rsidR="00B70222" w:rsidRPr="008865D6">
              <w:rPr>
                <w:rFonts w:ascii="Source Sans Pro" w:eastAsia="Arial" w:hAnsi="Source Sans Pro" w:cs="Arial"/>
                <w:color w:val="000000"/>
                <w:sz w:val="20"/>
                <w:szCs w:val="20"/>
              </w:rPr>
              <w:t xml:space="preserve">22 </w:t>
            </w:r>
            <w:r w:rsidRPr="008865D6">
              <w:rPr>
                <w:rFonts w:ascii="Source Sans Pro" w:eastAsia="Arial" w:hAnsi="Source Sans Pro" w:cs="Arial"/>
                <w:color w:val="000000"/>
                <w:sz w:val="20"/>
                <w:szCs w:val="20"/>
              </w:rPr>
              <w:t>of this policy</w:t>
            </w:r>
          </w:p>
        </w:tc>
      </w:tr>
      <w:tr w:rsidR="001672CB" w:rsidRPr="008865D6" w14:paraId="7C2DCF70" w14:textId="77777777" w:rsidTr="00930868">
        <w:tc>
          <w:tcPr>
            <w:tcW w:w="1593" w:type="pct"/>
            <w:tcBorders>
              <w:top w:val="outset" w:sz="6" w:space="0" w:color="auto"/>
              <w:left w:val="outset" w:sz="6" w:space="0" w:color="auto"/>
              <w:bottom w:val="outset" w:sz="6" w:space="0" w:color="auto"/>
              <w:right w:val="outset" w:sz="6" w:space="0" w:color="auto"/>
            </w:tcBorders>
          </w:tcPr>
          <w:p w14:paraId="6F25D9B2" w14:textId="77777777" w:rsidR="001672CB" w:rsidRPr="008865D6" w:rsidRDefault="00777272">
            <w:pPr>
              <w:rPr>
                <w:rFonts w:ascii="Source Sans Pro" w:eastAsia="Arial" w:hAnsi="Source Sans Pro" w:cs="Arial"/>
                <w:color w:val="000000"/>
                <w:sz w:val="20"/>
                <w:szCs w:val="20"/>
              </w:rPr>
            </w:pPr>
            <w:r w:rsidRPr="008865D6">
              <w:rPr>
                <w:rFonts w:ascii="Source Sans Pro" w:eastAsia="Arial" w:hAnsi="Source Sans Pro" w:cs="Arial"/>
                <w:color w:val="000000"/>
                <w:sz w:val="20"/>
                <w:szCs w:val="20"/>
              </w:rPr>
              <w:t>Convene a student appeal panel, and appoint a chair person</w:t>
            </w:r>
          </w:p>
        </w:tc>
        <w:tc>
          <w:tcPr>
            <w:tcW w:w="1378" w:type="pct"/>
            <w:tcBorders>
              <w:top w:val="outset" w:sz="6" w:space="0" w:color="auto"/>
              <w:left w:val="outset" w:sz="6" w:space="0" w:color="auto"/>
              <w:bottom w:val="outset" w:sz="6" w:space="0" w:color="auto"/>
              <w:right w:val="outset" w:sz="6" w:space="0" w:color="auto"/>
            </w:tcBorders>
          </w:tcPr>
          <w:p w14:paraId="1A1D7A27" w14:textId="77777777" w:rsidR="001672CB" w:rsidRPr="008865D6" w:rsidRDefault="00777272">
            <w:pPr>
              <w:rPr>
                <w:rFonts w:ascii="Source Sans Pro" w:eastAsia="Arial" w:hAnsi="Source Sans Pro" w:cs="Arial"/>
                <w:color w:val="000000"/>
                <w:sz w:val="20"/>
                <w:szCs w:val="20"/>
              </w:rPr>
            </w:pPr>
            <w:r w:rsidRPr="008865D6">
              <w:rPr>
                <w:rFonts w:ascii="Source Sans Pro" w:eastAsia="Arial" w:hAnsi="Source Sans Pro" w:cs="Arial"/>
                <w:color w:val="000000"/>
                <w:sz w:val="20"/>
                <w:szCs w:val="20"/>
              </w:rPr>
              <w:t>Academic Secretary or a person authorised by the Academic Secretary to act</w:t>
            </w:r>
          </w:p>
        </w:tc>
        <w:tc>
          <w:tcPr>
            <w:tcW w:w="2029" w:type="pct"/>
            <w:tcBorders>
              <w:top w:val="outset" w:sz="6" w:space="0" w:color="auto"/>
              <w:left w:val="outset" w:sz="6" w:space="0" w:color="auto"/>
              <w:bottom w:val="outset" w:sz="6" w:space="0" w:color="auto"/>
              <w:right w:val="outset" w:sz="6" w:space="0" w:color="auto"/>
            </w:tcBorders>
          </w:tcPr>
          <w:p w14:paraId="77E3E0A3" w14:textId="77777777" w:rsidR="001672CB" w:rsidRPr="008865D6" w:rsidRDefault="00777272">
            <w:pPr>
              <w:rPr>
                <w:rFonts w:ascii="Source Sans Pro" w:eastAsia="Arial" w:hAnsi="Source Sans Pro" w:cs="Arial"/>
                <w:color w:val="000000"/>
                <w:sz w:val="20"/>
                <w:szCs w:val="20"/>
              </w:rPr>
            </w:pPr>
            <w:r w:rsidRPr="008865D6">
              <w:rPr>
                <w:rFonts w:ascii="Source Sans Pro" w:eastAsia="Arial" w:hAnsi="Source Sans Pro" w:cs="Arial"/>
                <w:color w:val="000000"/>
                <w:sz w:val="20"/>
                <w:szCs w:val="20"/>
              </w:rPr>
              <w:t> </w:t>
            </w:r>
          </w:p>
        </w:tc>
      </w:tr>
      <w:tr w:rsidR="001672CB" w:rsidRPr="008865D6" w14:paraId="0214D151" w14:textId="77777777" w:rsidTr="00930868">
        <w:tc>
          <w:tcPr>
            <w:tcW w:w="1593" w:type="pct"/>
            <w:tcBorders>
              <w:top w:val="outset" w:sz="6" w:space="0" w:color="auto"/>
              <w:left w:val="outset" w:sz="6" w:space="0" w:color="auto"/>
              <w:bottom w:val="outset" w:sz="6" w:space="0" w:color="auto"/>
              <w:right w:val="outset" w:sz="6" w:space="0" w:color="auto"/>
            </w:tcBorders>
          </w:tcPr>
          <w:p w14:paraId="047BF034" w14:textId="3F63F5CC" w:rsidR="001672CB" w:rsidRPr="008865D6" w:rsidRDefault="00777272">
            <w:pPr>
              <w:rPr>
                <w:rFonts w:ascii="Source Sans Pro" w:eastAsia="Arial" w:hAnsi="Source Sans Pro" w:cs="Arial"/>
                <w:color w:val="000000"/>
                <w:sz w:val="20"/>
                <w:szCs w:val="20"/>
              </w:rPr>
            </w:pPr>
            <w:r w:rsidRPr="008865D6">
              <w:rPr>
                <w:rFonts w:ascii="Source Sans Pro" w:eastAsia="Arial" w:hAnsi="Source Sans Pro" w:cs="Arial"/>
                <w:color w:val="000000"/>
                <w:sz w:val="20"/>
                <w:szCs w:val="20"/>
              </w:rPr>
              <w:lastRenderedPageBreak/>
              <w:t xml:space="preserve">Appoint a secretary to the Student Appeal </w:t>
            </w:r>
            <w:r w:rsidR="00532BD1" w:rsidRPr="008865D6">
              <w:rPr>
                <w:rFonts w:ascii="Source Sans Pro" w:eastAsia="Arial" w:hAnsi="Source Sans Pro" w:cs="Arial"/>
                <w:color w:val="000000"/>
                <w:sz w:val="20"/>
                <w:szCs w:val="20"/>
              </w:rPr>
              <w:t>Panel</w:t>
            </w:r>
          </w:p>
        </w:tc>
        <w:tc>
          <w:tcPr>
            <w:tcW w:w="1378" w:type="pct"/>
            <w:tcBorders>
              <w:top w:val="outset" w:sz="6" w:space="0" w:color="auto"/>
              <w:left w:val="outset" w:sz="6" w:space="0" w:color="auto"/>
              <w:bottom w:val="outset" w:sz="6" w:space="0" w:color="auto"/>
              <w:right w:val="outset" w:sz="6" w:space="0" w:color="auto"/>
            </w:tcBorders>
          </w:tcPr>
          <w:p w14:paraId="21BABFC0" w14:textId="77777777" w:rsidR="001672CB" w:rsidRPr="008865D6" w:rsidRDefault="00777272">
            <w:pPr>
              <w:rPr>
                <w:rFonts w:ascii="Source Sans Pro" w:eastAsia="Arial" w:hAnsi="Source Sans Pro" w:cs="Arial"/>
                <w:color w:val="000000"/>
                <w:sz w:val="20"/>
                <w:szCs w:val="20"/>
              </w:rPr>
            </w:pPr>
            <w:r w:rsidRPr="008865D6">
              <w:rPr>
                <w:rFonts w:ascii="Source Sans Pro" w:eastAsia="Arial" w:hAnsi="Source Sans Pro" w:cs="Arial"/>
                <w:color w:val="000000"/>
                <w:sz w:val="20"/>
                <w:szCs w:val="20"/>
              </w:rPr>
              <w:t>Academic Secretary or a person authorised by the Academic Secretary to act</w:t>
            </w:r>
          </w:p>
        </w:tc>
        <w:tc>
          <w:tcPr>
            <w:tcW w:w="2029" w:type="pct"/>
            <w:tcBorders>
              <w:top w:val="outset" w:sz="6" w:space="0" w:color="auto"/>
              <w:left w:val="outset" w:sz="6" w:space="0" w:color="auto"/>
              <w:bottom w:val="outset" w:sz="6" w:space="0" w:color="auto"/>
              <w:right w:val="outset" w:sz="6" w:space="0" w:color="auto"/>
            </w:tcBorders>
          </w:tcPr>
          <w:p w14:paraId="145AFFD2" w14:textId="77777777" w:rsidR="001672CB" w:rsidRPr="008865D6" w:rsidRDefault="00777272">
            <w:pPr>
              <w:rPr>
                <w:rFonts w:ascii="Source Sans Pro" w:eastAsia="Arial" w:hAnsi="Source Sans Pro" w:cs="Arial"/>
                <w:color w:val="000000"/>
                <w:sz w:val="20"/>
                <w:szCs w:val="20"/>
              </w:rPr>
            </w:pPr>
            <w:r w:rsidRPr="008865D6">
              <w:rPr>
                <w:rFonts w:ascii="Source Sans Pro" w:eastAsia="Arial" w:hAnsi="Source Sans Pro" w:cs="Arial"/>
                <w:color w:val="000000"/>
                <w:sz w:val="20"/>
                <w:szCs w:val="20"/>
              </w:rPr>
              <w:t> </w:t>
            </w:r>
          </w:p>
        </w:tc>
      </w:tr>
      <w:tr w:rsidR="001672CB" w:rsidRPr="008865D6" w14:paraId="3BB52FB6" w14:textId="77777777" w:rsidTr="00930868">
        <w:tc>
          <w:tcPr>
            <w:tcW w:w="1593" w:type="pct"/>
            <w:tcBorders>
              <w:top w:val="outset" w:sz="6" w:space="0" w:color="auto"/>
              <w:left w:val="outset" w:sz="6" w:space="0" w:color="auto"/>
              <w:bottom w:val="outset" w:sz="6" w:space="0" w:color="auto"/>
              <w:right w:val="outset" w:sz="6" w:space="0" w:color="auto"/>
            </w:tcBorders>
          </w:tcPr>
          <w:p w14:paraId="1267A90D" w14:textId="4147E4DC" w:rsidR="001672CB" w:rsidRPr="008865D6" w:rsidRDefault="00777272" w:rsidP="008865D6">
            <w:pPr>
              <w:spacing w:after="280" w:afterAutospacing="1"/>
              <w:rPr>
                <w:rFonts w:ascii="Source Sans Pro" w:eastAsia="Arial" w:hAnsi="Source Sans Pro" w:cs="Arial"/>
                <w:color w:val="000000"/>
                <w:sz w:val="20"/>
                <w:szCs w:val="20"/>
              </w:rPr>
            </w:pPr>
            <w:r w:rsidRPr="008865D6">
              <w:rPr>
                <w:rFonts w:ascii="Source Sans Pro" w:eastAsia="Arial" w:hAnsi="Source Sans Pro" w:cs="Arial"/>
                <w:color w:val="000000"/>
                <w:sz w:val="20"/>
                <w:szCs w:val="20"/>
              </w:rPr>
              <w:t>Request a response to the notice of appeal</w:t>
            </w:r>
          </w:p>
        </w:tc>
        <w:tc>
          <w:tcPr>
            <w:tcW w:w="1378" w:type="pct"/>
            <w:tcBorders>
              <w:top w:val="outset" w:sz="6" w:space="0" w:color="auto"/>
              <w:left w:val="outset" w:sz="6" w:space="0" w:color="auto"/>
              <w:bottom w:val="outset" w:sz="6" w:space="0" w:color="auto"/>
              <w:right w:val="outset" w:sz="6" w:space="0" w:color="auto"/>
            </w:tcBorders>
          </w:tcPr>
          <w:p w14:paraId="2DCD2354" w14:textId="77777777" w:rsidR="001672CB" w:rsidRPr="008865D6" w:rsidRDefault="00777272">
            <w:pPr>
              <w:rPr>
                <w:rFonts w:ascii="Source Sans Pro" w:eastAsia="Arial" w:hAnsi="Source Sans Pro" w:cs="Arial"/>
                <w:color w:val="000000"/>
                <w:sz w:val="20"/>
                <w:szCs w:val="20"/>
              </w:rPr>
            </w:pPr>
            <w:r w:rsidRPr="008865D6">
              <w:rPr>
                <w:rFonts w:ascii="Source Sans Pro" w:eastAsia="Arial" w:hAnsi="Source Sans Pro" w:cs="Arial"/>
                <w:color w:val="000000"/>
                <w:sz w:val="20"/>
                <w:szCs w:val="20"/>
              </w:rPr>
              <w:t>Academic Secretary or a person authorised by the Academic Secretary to act</w:t>
            </w:r>
          </w:p>
        </w:tc>
        <w:tc>
          <w:tcPr>
            <w:tcW w:w="2029" w:type="pct"/>
            <w:tcBorders>
              <w:top w:val="outset" w:sz="6" w:space="0" w:color="auto"/>
              <w:left w:val="outset" w:sz="6" w:space="0" w:color="auto"/>
              <w:bottom w:val="outset" w:sz="6" w:space="0" w:color="auto"/>
              <w:right w:val="outset" w:sz="6" w:space="0" w:color="auto"/>
            </w:tcBorders>
          </w:tcPr>
          <w:p w14:paraId="31D10B8F" w14:textId="77777777" w:rsidR="001672CB" w:rsidRPr="008865D6" w:rsidRDefault="00777272">
            <w:pPr>
              <w:rPr>
                <w:rFonts w:ascii="Source Sans Pro" w:eastAsia="Arial" w:hAnsi="Source Sans Pro" w:cs="Arial"/>
                <w:color w:val="000000"/>
                <w:sz w:val="20"/>
                <w:szCs w:val="20"/>
              </w:rPr>
            </w:pPr>
            <w:r w:rsidRPr="008865D6">
              <w:rPr>
                <w:rFonts w:ascii="Source Sans Pro" w:eastAsia="Arial" w:hAnsi="Source Sans Pro" w:cs="Arial"/>
                <w:color w:val="000000"/>
                <w:sz w:val="20"/>
                <w:szCs w:val="20"/>
              </w:rPr>
              <w:t> </w:t>
            </w:r>
          </w:p>
        </w:tc>
      </w:tr>
      <w:tr w:rsidR="001672CB" w:rsidRPr="008865D6" w14:paraId="038B41F7" w14:textId="77777777" w:rsidTr="00930868">
        <w:tc>
          <w:tcPr>
            <w:tcW w:w="1593" w:type="pct"/>
            <w:tcBorders>
              <w:top w:val="outset" w:sz="6" w:space="0" w:color="auto"/>
              <w:left w:val="outset" w:sz="6" w:space="0" w:color="auto"/>
              <w:bottom w:val="outset" w:sz="6" w:space="0" w:color="auto"/>
              <w:right w:val="outset" w:sz="6" w:space="0" w:color="auto"/>
            </w:tcBorders>
          </w:tcPr>
          <w:p w14:paraId="30F42CE3" w14:textId="77777777" w:rsidR="001672CB" w:rsidRPr="008865D6" w:rsidRDefault="00777272">
            <w:pPr>
              <w:rPr>
                <w:rFonts w:ascii="Source Sans Pro" w:eastAsia="Arial" w:hAnsi="Source Sans Pro" w:cs="Arial"/>
                <w:color w:val="000000"/>
                <w:sz w:val="20"/>
                <w:szCs w:val="20"/>
              </w:rPr>
            </w:pPr>
            <w:r w:rsidRPr="008865D6">
              <w:rPr>
                <w:rFonts w:ascii="Source Sans Pro" w:eastAsia="Arial" w:hAnsi="Source Sans Pro" w:cs="Arial"/>
                <w:color w:val="000000"/>
                <w:sz w:val="20"/>
                <w:szCs w:val="20"/>
              </w:rPr>
              <w:t>Provision of response to the notice of appeal</w:t>
            </w:r>
          </w:p>
        </w:tc>
        <w:tc>
          <w:tcPr>
            <w:tcW w:w="1378" w:type="pct"/>
            <w:tcBorders>
              <w:top w:val="outset" w:sz="6" w:space="0" w:color="auto"/>
              <w:left w:val="outset" w:sz="6" w:space="0" w:color="auto"/>
              <w:bottom w:val="outset" w:sz="6" w:space="0" w:color="auto"/>
              <w:right w:val="outset" w:sz="6" w:space="0" w:color="auto"/>
            </w:tcBorders>
          </w:tcPr>
          <w:p w14:paraId="226ADD27" w14:textId="77777777" w:rsidR="001672CB" w:rsidRPr="008865D6" w:rsidRDefault="00777272">
            <w:pPr>
              <w:rPr>
                <w:rFonts w:ascii="Source Sans Pro" w:eastAsia="Arial" w:hAnsi="Source Sans Pro" w:cs="Arial"/>
                <w:color w:val="000000"/>
                <w:sz w:val="20"/>
                <w:szCs w:val="20"/>
              </w:rPr>
            </w:pPr>
            <w:r w:rsidRPr="008865D6">
              <w:rPr>
                <w:rFonts w:ascii="Source Sans Pro" w:eastAsia="Arial" w:hAnsi="Source Sans Pro" w:cs="Arial"/>
                <w:color w:val="000000"/>
                <w:sz w:val="20"/>
                <w:szCs w:val="20"/>
              </w:rPr>
              <w:t>Respondent</w:t>
            </w:r>
          </w:p>
        </w:tc>
        <w:tc>
          <w:tcPr>
            <w:tcW w:w="2029" w:type="pct"/>
            <w:tcBorders>
              <w:top w:val="outset" w:sz="6" w:space="0" w:color="auto"/>
              <w:left w:val="outset" w:sz="6" w:space="0" w:color="auto"/>
              <w:bottom w:val="outset" w:sz="6" w:space="0" w:color="auto"/>
              <w:right w:val="outset" w:sz="6" w:space="0" w:color="auto"/>
            </w:tcBorders>
          </w:tcPr>
          <w:p w14:paraId="78B2EF17" w14:textId="687BC5D3" w:rsidR="001672CB" w:rsidRPr="008865D6" w:rsidRDefault="00777272">
            <w:pPr>
              <w:rPr>
                <w:rFonts w:ascii="Source Sans Pro" w:eastAsia="Arial" w:hAnsi="Source Sans Pro" w:cs="Arial"/>
                <w:color w:val="000000"/>
                <w:sz w:val="20"/>
                <w:szCs w:val="20"/>
              </w:rPr>
            </w:pPr>
            <w:r w:rsidRPr="008865D6">
              <w:rPr>
                <w:rFonts w:ascii="Source Sans Pro" w:eastAsia="Arial" w:hAnsi="Source Sans Pro" w:cs="Arial"/>
                <w:color w:val="000000"/>
                <w:sz w:val="20"/>
                <w:szCs w:val="20"/>
              </w:rPr>
              <w:t xml:space="preserve">Must be submitted within 10 </w:t>
            </w:r>
            <w:r w:rsidR="00B70222" w:rsidRPr="008865D6">
              <w:rPr>
                <w:rFonts w:ascii="Source Sans Pro" w:eastAsia="Arial" w:hAnsi="Source Sans Pro" w:cs="Arial"/>
                <w:color w:val="000000"/>
                <w:sz w:val="20"/>
                <w:szCs w:val="20"/>
              </w:rPr>
              <w:t>University Business</w:t>
            </w:r>
            <w:r w:rsidRPr="008865D6">
              <w:rPr>
                <w:rFonts w:ascii="Source Sans Pro" w:eastAsia="Arial" w:hAnsi="Source Sans Pro" w:cs="Arial"/>
                <w:color w:val="000000"/>
                <w:sz w:val="20"/>
                <w:szCs w:val="20"/>
              </w:rPr>
              <w:t xml:space="preserve"> days of the request or in the timeframe stipulated in the request</w:t>
            </w:r>
          </w:p>
        </w:tc>
      </w:tr>
      <w:tr w:rsidR="001672CB" w:rsidRPr="008865D6" w14:paraId="34889003" w14:textId="77777777" w:rsidTr="00930868">
        <w:tc>
          <w:tcPr>
            <w:tcW w:w="1593" w:type="pct"/>
            <w:tcBorders>
              <w:top w:val="outset" w:sz="6" w:space="0" w:color="auto"/>
              <w:left w:val="outset" w:sz="6" w:space="0" w:color="auto"/>
              <w:bottom w:val="outset" w:sz="6" w:space="0" w:color="auto"/>
              <w:right w:val="outset" w:sz="6" w:space="0" w:color="auto"/>
            </w:tcBorders>
          </w:tcPr>
          <w:p w14:paraId="106E56E8" w14:textId="78D95B43" w:rsidR="001672CB" w:rsidRPr="008865D6" w:rsidRDefault="00777272">
            <w:pPr>
              <w:rPr>
                <w:rFonts w:ascii="Source Sans Pro" w:eastAsia="Arial" w:hAnsi="Source Sans Pro" w:cs="Arial"/>
                <w:color w:val="000000"/>
                <w:sz w:val="20"/>
                <w:szCs w:val="20"/>
              </w:rPr>
            </w:pPr>
            <w:r w:rsidRPr="008865D6">
              <w:rPr>
                <w:rFonts w:ascii="Source Sans Pro" w:eastAsia="Arial" w:hAnsi="Source Sans Pro" w:cs="Arial"/>
                <w:color w:val="000000"/>
                <w:sz w:val="20"/>
                <w:szCs w:val="20"/>
              </w:rPr>
              <w:t xml:space="preserve">Ensure the appropriate conduct of the Student Appeal </w:t>
            </w:r>
            <w:r w:rsidR="00532BD1" w:rsidRPr="008865D6">
              <w:rPr>
                <w:rFonts w:ascii="Source Sans Pro" w:eastAsia="Arial" w:hAnsi="Source Sans Pro" w:cs="Arial"/>
                <w:color w:val="000000"/>
                <w:sz w:val="20"/>
                <w:szCs w:val="20"/>
              </w:rPr>
              <w:t>Panel</w:t>
            </w:r>
          </w:p>
        </w:tc>
        <w:tc>
          <w:tcPr>
            <w:tcW w:w="1378" w:type="pct"/>
            <w:tcBorders>
              <w:top w:val="outset" w:sz="6" w:space="0" w:color="auto"/>
              <w:left w:val="outset" w:sz="6" w:space="0" w:color="auto"/>
              <w:bottom w:val="outset" w:sz="6" w:space="0" w:color="auto"/>
              <w:right w:val="outset" w:sz="6" w:space="0" w:color="auto"/>
            </w:tcBorders>
          </w:tcPr>
          <w:p w14:paraId="7408C244" w14:textId="458F1678" w:rsidR="001672CB" w:rsidRPr="008865D6" w:rsidRDefault="00777272">
            <w:pPr>
              <w:rPr>
                <w:rFonts w:ascii="Source Sans Pro" w:eastAsia="Arial" w:hAnsi="Source Sans Pro" w:cs="Arial"/>
                <w:color w:val="000000"/>
                <w:sz w:val="20"/>
                <w:szCs w:val="20"/>
              </w:rPr>
            </w:pPr>
            <w:r w:rsidRPr="008865D6">
              <w:rPr>
                <w:rFonts w:ascii="Source Sans Pro" w:eastAsia="Arial" w:hAnsi="Source Sans Pro" w:cs="Arial"/>
                <w:color w:val="000000"/>
                <w:sz w:val="20"/>
                <w:szCs w:val="20"/>
              </w:rPr>
              <w:t xml:space="preserve">Chairperson of the Student Appeal </w:t>
            </w:r>
            <w:r w:rsidR="00532BD1" w:rsidRPr="008865D6">
              <w:rPr>
                <w:rFonts w:ascii="Source Sans Pro" w:eastAsia="Arial" w:hAnsi="Source Sans Pro" w:cs="Arial"/>
                <w:color w:val="000000"/>
                <w:sz w:val="20"/>
                <w:szCs w:val="20"/>
              </w:rPr>
              <w:t>Panel</w:t>
            </w:r>
          </w:p>
        </w:tc>
        <w:tc>
          <w:tcPr>
            <w:tcW w:w="2029" w:type="pct"/>
            <w:tcBorders>
              <w:top w:val="outset" w:sz="6" w:space="0" w:color="auto"/>
              <w:left w:val="outset" w:sz="6" w:space="0" w:color="auto"/>
              <w:bottom w:val="outset" w:sz="6" w:space="0" w:color="auto"/>
              <w:right w:val="outset" w:sz="6" w:space="0" w:color="auto"/>
            </w:tcBorders>
          </w:tcPr>
          <w:p w14:paraId="0F11AF8E" w14:textId="030EB6F5" w:rsidR="001672CB" w:rsidRPr="008865D6" w:rsidRDefault="00777272">
            <w:pPr>
              <w:rPr>
                <w:rFonts w:ascii="Source Sans Pro" w:eastAsia="Arial" w:hAnsi="Source Sans Pro" w:cs="Arial"/>
                <w:color w:val="000000"/>
                <w:sz w:val="20"/>
                <w:szCs w:val="20"/>
              </w:rPr>
            </w:pPr>
            <w:r w:rsidRPr="008865D6">
              <w:rPr>
                <w:rFonts w:ascii="Source Sans Pro" w:eastAsia="Arial" w:hAnsi="Source Sans Pro" w:cs="Arial"/>
                <w:color w:val="000000"/>
                <w:sz w:val="20"/>
                <w:szCs w:val="20"/>
              </w:rPr>
              <w:t>Must be in accordance with sections 5.</w:t>
            </w:r>
            <w:r w:rsidR="00BB4B6C" w:rsidRPr="008865D6">
              <w:rPr>
                <w:rFonts w:ascii="Source Sans Pro" w:eastAsia="Arial" w:hAnsi="Source Sans Pro" w:cs="Arial"/>
                <w:color w:val="000000"/>
                <w:sz w:val="20"/>
                <w:szCs w:val="20"/>
              </w:rPr>
              <w:t>4</w:t>
            </w:r>
            <w:r w:rsidRPr="008865D6">
              <w:rPr>
                <w:rFonts w:ascii="Source Sans Pro" w:eastAsia="Arial" w:hAnsi="Source Sans Pro" w:cs="Arial"/>
                <w:color w:val="000000"/>
                <w:sz w:val="20"/>
                <w:szCs w:val="20"/>
              </w:rPr>
              <w:t>-5.11 of this policy</w:t>
            </w:r>
          </w:p>
        </w:tc>
      </w:tr>
      <w:tr w:rsidR="001672CB" w:rsidRPr="008865D6" w14:paraId="6B517939" w14:textId="77777777" w:rsidTr="00930868">
        <w:tc>
          <w:tcPr>
            <w:tcW w:w="1593" w:type="pct"/>
            <w:tcBorders>
              <w:top w:val="outset" w:sz="6" w:space="0" w:color="auto"/>
              <w:left w:val="outset" w:sz="6" w:space="0" w:color="auto"/>
              <w:bottom w:val="outset" w:sz="6" w:space="0" w:color="auto"/>
              <w:right w:val="outset" w:sz="6" w:space="0" w:color="auto"/>
            </w:tcBorders>
          </w:tcPr>
          <w:p w14:paraId="76098A1E" w14:textId="77777777" w:rsidR="001672CB" w:rsidRPr="008865D6" w:rsidRDefault="00777272">
            <w:pPr>
              <w:rPr>
                <w:rFonts w:ascii="Source Sans Pro" w:eastAsia="Arial" w:hAnsi="Source Sans Pro" w:cs="Arial"/>
                <w:color w:val="000000"/>
                <w:sz w:val="20"/>
                <w:szCs w:val="20"/>
              </w:rPr>
            </w:pPr>
            <w:r w:rsidRPr="008865D6">
              <w:rPr>
                <w:rFonts w:ascii="Source Sans Pro" w:eastAsia="Arial" w:hAnsi="Source Sans Pro" w:cs="Arial"/>
                <w:color w:val="000000"/>
                <w:sz w:val="20"/>
                <w:szCs w:val="20"/>
              </w:rPr>
              <w:t>Deliberate and decide</w:t>
            </w:r>
          </w:p>
        </w:tc>
        <w:tc>
          <w:tcPr>
            <w:tcW w:w="1378" w:type="pct"/>
            <w:tcBorders>
              <w:top w:val="outset" w:sz="6" w:space="0" w:color="auto"/>
              <w:left w:val="outset" w:sz="6" w:space="0" w:color="auto"/>
              <w:bottom w:val="outset" w:sz="6" w:space="0" w:color="auto"/>
              <w:right w:val="outset" w:sz="6" w:space="0" w:color="auto"/>
            </w:tcBorders>
          </w:tcPr>
          <w:p w14:paraId="6704A897" w14:textId="77777777" w:rsidR="001672CB" w:rsidRPr="008865D6" w:rsidRDefault="00777272">
            <w:pPr>
              <w:rPr>
                <w:rFonts w:ascii="Source Sans Pro" w:eastAsia="Arial" w:hAnsi="Source Sans Pro" w:cs="Arial"/>
                <w:color w:val="000000"/>
                <w:sz w:val="20"/>
                <w:szCs w:val="20"/>
              </w:rPr>
            </w:pPr>
            <w:r w:rsidRPr="008865D6">
              <w:rPr>
                <w:rFonts w:ascii="Source Sans Pro" w:eastAsia="Arial" w:hAnsi="Source Sans Pro" w:cs="Arial"/>
                <w:color w:val="000000"/>
                <w:sz w:val="20"/>
                <w:szCs w:val="20"/>
              </w:rPr>
              <w:t>Student appeal panel</w:t>
            </w:r>
          </w:p>
        </w:tc>
        <w:tc>
          <w:tcPr>
            <w:tcW w:w="2029" w:type="pct"/>
            <w:tcBorders>
              <w:top w:val="outset" w:sz="6" w:space="0" w:color="auto"/>
              <w:left w:val="outset" w:sz="6" w:space="0" w:color="auto"/>
              <w:bottom w:val="outset" w:sz="6" w:space="0" w:color="auto"/>
              <w:right w:val="outset" w:sz="6" w:space="0" w:color="auto"/>
            </w:tcBorders>
          </w:tcPr>
          <w:p w14:paraId="38C4A743" w14:textId="5D46D90A" w:rsidR="001672CB" w:rsidRPr="008865D6" w:rsidRDefault="00777272">
            <w:pPr>
              <w:rPr>
                <w:rFonts w:ascii="Source Sans Pro" w:eastAsia="Arial" w:hAnsi="Source Sans Pro" w:cs="Arial"/>
                <w:color w:val="000000"/>
                <w:sz w:val="20"/>
                <w:szCs w:val="20"/>
              </w:rPr>
            </w:pPr>
            <w:r w:rsidRPr="008865D6">
              <w:rPr>
                <w:rFonts w:ascii="Source Sans Pro" w:eastAsia="Arial" w:hAnsi="Source Sans Pro" w:cs="Arial"/>
                <w:color w:val="000000"/>
                <w:sz w:val="20"/>
                <w:szCs w:val="20"/>
              </w:rPr>
              <w:t>Must be in accordance with the provisions of the Academic Board Regulation and sections 5.4 and 5.13-5.1</w:t>
            </w:r>
            <w:r w:rsidR="00BB4B6C" w:rsidRPr="008865D6">
              <w:rPr>
                <w:rFonts w:ascii="Source Sans Pro" w:eastAsia="Arial" w:hAnsi="Source Sans Pro" w:cs="Arial"/>
                <w:color w:val="000000"/>
                <w:sz w:val="20"/>
                <w:szCs w:val="20"/>
              </w:rPr>
              <w:t>8</w:t>
            </w:r>
            <w:r w:rsidRPr="008865D6">
              <w:rPr>
                <w:rFonts w:ascii="Source Sans Pro" w:eastAsia="Arial" w:hAnsi="Source Sans Pro" w:cs="Arial"/>
                <w:color w:val="000000"/>
                <w:sz w:val="20"/>
                <w:szCs w:val="20"/>
              </w:rPr>
              <w:t xml:space="preserve"> of this policy</w:t>
            </w:r>
          </w:p>
        </w:tc>
      </w:tr>
      <w:tr w:rsidR="001672CB" w:rsidRPr="008865D6" w14:paraId="3375A007" w14:textId="77777777" w:rsidTr="00930868">
        <w:tc>
          <w:tcPr>
            <w:tcW w:w="1593" w:type="pct"/>
            <w:tcBorders>
              <w:top w:val="outset" w:sz="6" w:space="0" w:color="auto"/>
              <w:left w:val="outset" w:sz="6" w:space="0" w:color="auto"/>
              <w:bottom w:val="outset" w:sz="6" w:space="0" w:color="auto"/>
              <w:right w:val="outset" w:sz="6" w:space="0" w:color="auto"/>
            </w:tcBorders>
          </w:tcPr>
          <w:p w14:paraId="2FA46F47" w14:textId="77777777" w:rsidR="001672CB" w:rsidRPr="008865D6" w:rsidRDefault="00777272">
            <w:pPr>
              <w:rPr>
                <w:rFonts w:ascii="Source Sans Pro" w:eastAsia="Arial" w:hAnsi="Source Sans Pro" w:cs="Arial"/>
                <w:color w:val="000000"/>
                <w:sz w:val="20"/>
                <w:szCs w:val="20"/>
              </w:rPr>
            </w:pPr>
            <w:r w:rsidRPr="008865D6">
              <w:rPr>
                <w:rFonts w:ascii="Source Sans Pro" w:eastAsia="Arial" w:hAnsi="Source Sans Pro" w:cs="Arial"/>
                <w:color w:val="000000"/>
                <w:sz w:val="20"/>
                <w:szCs w:val="20"/>
              </w:rPr>
              <w:t>Provision of outcome notice to appellant following hearing</w:t>
            </w:r>
          </w:p>
        </w:tc>
        <w:tc>
          <w:tcPr>
            <w:tcW w:w="1378" w:type="pct"/>
            <w:tcBorders>
              <w:top w:val="outset" w:sz="6" w:space="0" w:color="auto"/>
              <w:left w:val="outset" w:sz="6" w:space="0" w:color="auto"/>
              <w:bottom w:val="outset" w:sz="6" w:space="0" w:color="auto"/>
              <w:right w:val="outset" w:sz="6" w:space="0" w:color="auto"/>
            </w:tcBorders>
          </w:tcPr>
          <w:p w14:paraId="524DBC1A" w14:textId="1D5DE09F" w:rsidR="001672CB" w:rsidRPr="008865D6" w:rsidRDefault="00E81FD4">
            <w:pPr>
              <w:rPr>
                <w:rFonts w:ascii="Source Sans Pro" w:eastAsia="Arial" w:hAnsi="Source Sans Pro" w:cs="Arial"/>
                <w:color w:val="000000"/>
                <w:sz w:val="20"/>
                <w:szCs w:val="20"/>
              </w:rPr>
            </w:pPr>
            <w:r w:rsidRPr="008865D6">
              <w:rPr>
                <w:rFonts w:ascii="Source Sans Pro" w:eastAsia="Arial" w:hAnsi="Source Sans Pro" w:cs="Arial"/>
                <w:color w:val="000000"/>
                <w:sz w:val="20"/>
                <w:szCs w:val="20"/>
              </w:rPr>
              <w:t>University Secretary or Academic Secretary</w:t>
            </w:r>
            <w:r w:rsidRPr="008865D6" w:rsidDel="00A4082F">
              <w:rPr>
                <w:rFonts w:ascii="Source Sans Pro" w:eastAsia="Arial" w:hAnsi="Source Sans Pro" w:cs="Arial"/>
                <w:color w:val="000000"/>
                <w:sz w:val="20"/>
                <w:szCs w:val="20"/>
              </w:rPr>
              <w:t xml:space="preserve"> </w:t>
            </w:r>
            <w:r w:rsidRPr="008865D6">
              <w:rPr>
                <w:rFonts w:ascii="Source Sans Pro" w:eastAsia="Arial" w:hAnsi="Source Sans Pro" w:cs="Arial"/>
                <w:color w:val="000000"/>
                <w:sz w:val="20"/>
                <w:szCs w:val="20"/>
              </w:rPr>
              <w:t>or a person authorised to act</w:t>
            </w:r>
          </w:p>
        </w:tc>
        <w:tc>
          <w:tcPr>
            <w:tcW w:w="2029" w:type="pct"/>
            <w:tcBorders>
              <w:top w:val="outset" w:sz="6" w:space="0" w:color="auto"/>
              <w:left w:val="outset" w:sz="6" w:space="0" w:color="auto"/>
              <w:bottom w:val="outset" w:sz="6" w:space="0" w:color="auto"/>
              <w:right w:val="outset" w:sz="6" w:space="0" w:color="auto"/>
            </w:tcBorders>
          </w:tcPr>
          <w:p w14:paraId="0B360BF6" w14:textId="04F00C26" w:rsidR="001672CB" w:rsidRPr="008865D6" w:rsidRDefault="00777272">
            <w:pPr>
              <w:rPr>
                <w:rFonts w:ascii="Source Sans Pro" w:eastAsia="Arial" w:hAnsi="Source Sans Pro" w:cs="Arial"/>
                <w:color w:val="000000"/>
                <w:sz w:val="20"/>
                <w:szCs w:val="20"/>
              </w:rPr>
            </w:pPr>
            <w:r w:rsidRPr="008865D6">
              <w:rPr>
                <w:rFonts w:ascii="Source Sans Pro" w:eastAsia="Arial" w:hAnsi="Source Sans Pro" w:cs="Arial"/>
                <w:color w:val="000000"/>
                <w:sz w:val="20"/>
                <w:szCs w:val="20"/>
              </w:rPr>
              <w:t>Must be in accordance with the provisions of the Academic Board Regulation and section 5.1</w:t>
            </w:r>
            <w:r w:rsidR="00BB4B6C" w:rsidRPr="008865D6">
              <w:rPr>
                <w:rFonts w:ascii="Source Sans Pro" w:eastAsia="Arial" w:hAnsi="Source Sans Pro" w:cs="Arial"/>
                <w:color w:val="000000"/>
                <w:sz w:val="20"/>
                <w:szCs w:val="20"/>
              </w:rPr>
              <w:t>6</w:t>
            </w:r>
            <w:r w:rsidRPr="008865D6">
              <w:rPr>
                <w:rFonts w:ascii="Source Sans Pro" w:eastAsia="Arial" w:hAnsi="Source Sans Pro" w:cs="Arial"/>
                <w:color w:val="000000"/>
                <w:sz w:val="20"/>
                <w:szCs w:val="20"/>
              </w:rPr>
              <w:t>-5.18 of this policy</w:t>
            </w:r>
          </w:p>
        </w:tc>
      </w:tr>
      <w:tr w:rsidR="001672CB" w:rsidRPr="008865D6" w14:paraId="2EE45DBF" w14:textId="77777777" w:rsidTr="00930868">
        <w:tc>
          <w:tcPr>
            <w:tcW w:w="1593" w:type="pct"/>
            <w:tcBorders>
              <w:top w:val="outset" w:sz="6" w:space="0" w:color="auto"/>
              <w:left w:val="outset" w:sz="6" w:space="0" w:color="auto"/>
              <w:bottom w:val="outset" w:sz="6" w:space="0" w:color="auto"/>
              <w:right w:val="outset" w:sz="6" w:space="0" w:color="auto"/>
            </w:tcBorders>
          </w:tcPr>
          <w:p w14:paraId="42890735" w14:textId="77777777" w:rsidR="001672CB" w:rsidRPr="008865D6" w:rsidRDefault="00777272">
            <w:pPr>
              <w:rPr>
                <w:rFonts w:ascii="Source Sans Pro" w:eastAsia="Arial" w:hAnsi="Source Sans Pro" w:cs="Arial"/>
                <w:color w:val="000000"/>
                <w:sz w:val="20"/>
                <w:szCs w:val="20"/>
              </w:rPr>
            </w:pPr>
            <w:r w:rsidRPr="008865D6">
              <w:rPr>
                <w:rFonts w:ascii="Source Sans Pro" w:eastAsia="Arial" w:hAnsi="Source Sans Pro" w:cs="Arial"/>
                <w:color w:val="000000"/>
                <w:sz w:val="20"/>
                <w:szCs w:val="20"/>
              </w:rPr>
              <w:t>Ensure that records are kept of all actions taken under this policy</w:t>
            </w:r>
          </w:p>
        </w:tc>
        <w:tc>
          <w:tcPr>
            <w:tcW w:w="1378" w:type="pct"/>
            <w:tcBorders>
              <w:top w:val="outset" w:sz="6" w:space="0" w:color="auto"/>
              <w:left w:val="outset" w:sz="6" w:space="0" w:color="auto"/>
              <w:bottom w:val="outset" w:sz="6" w:space="0" w:color="auto"/>
              <w:right w:val="outset" w:sz="6" w:space="0" w:color="auto"/>
            </w:tcBorders>
          </w:tcPr>
          <w:p w14:paraId="1DE64DDA" w14:textId="64D24EC8" w:rsidR="001672CB" w:rsidRPr="008865D6" w:rsidRDefault="00E81FD4">
            <w:pPr>
              <w:rPr>
                <w:rFonts w:ascii="Source Sans Pro" w:eastAsia="Arial" w:hAnsi="Source Sans Pro" w:cs="Arial"/>
                <w:color w:val="000000"/>
                <w:sz w:val="20"/>
                <w:szCs w:val="20"/>
              </w:rPr>
            </w:pPr>
            <w:r w:rsidRPr="008865D6">
              <w:rPr>
                <w:rFonts w:ascii="Source Sans Pro" w:eastAsia="Arial" w:hAnsi="Source Sans Pro" w:cs="Arial"/>
                <w:color w:val="000000"/>
                <w:sz w:val="20"/>
                <w:szCs w:val="20"/>
              </w:rPr>
              <w:t>University Secretary or Academic Secretary</w:t>
            </w:r>
            <w:r w:rsidRPr="008865D6" w:rsidDel="00A4082F">
              <w:rPr>
                <w:rFonts w:ascii="Source Sans Pro" w:eastAsia="Arial" w:hAnsi="Source Sans Pro" w:cs="Arial"/>
                <w:color w:val="000000"/>
                <w:sz w:val="20"/>
                <w:szCs w:val="20"/>
              </w:rPr>
              <w:t xml:space="preserve"> </w:t>
            </w:r>
            <w:r w:rsidRPr="008865D6">
              <w:rPr>
                <w:rFonts w:ascii="Source Sans Pro" w:eastAsia="Arial" w:hAnsi="Source Sans Pro" w:cs="Arial"/>
                <w:color w:val="000000"/>
                <w:sz w:val="20"/>
                <w:szCs w:val="20"/>
              </w:rPr>
              <w:t>or a person authorised to act</w:t>
            </w:r>
          </w:p>
        </w:tc>
        <w:tc>
          <w:tcPr>
            <w:tcW w:w="2029" w:type="pct"/>
            <w:tcBorders>
              <w:top w:val="outset" w:sz="6" w:space="0" w:color="auto"/>
              <w:left w:val="outset" w:sz="6" w:space="0" w:color="auto"/>
              <w:bottom w:val="outset" w:sz="6" w:space="0" w:color="auto"/>
              <w:right w:val="outset" w:sz="6" w:space="0" w:color="auto"/>
            </w:tcBorders>
          </w:tcPr>
          <w:p w14:paraId="2745769E" w14:textId="77777777" w:rsidR="001672CB" w:rsidRPr="008865D6" w:rsidRDefault="00777272">
            <w:pPr>
              <w:rPr>
                <w:rFonts w:ascii="Source Sans Pro" w:eastAsia="Arial" w:hAnsi="Source Sans Pro" w:cs="Arial"/>
                <w:color w:val="000000"/>
                <w:sz w:val="20"/>
                <w:szCs w:val="20"/>
              </w:rPr>
            </w:pPr>
            <w:r w:rsidRPr="008865D6">
              <w:rPr>
                <w:rFonts w:ascii="Source Sans Pro" w:eastAsia="Arial" w:hAnsi="Source Sans Pro" w:cs="Arial"/>
                <w:color w:val="000000"/>
                <w:sz w:val="20"/>
                <w:szCs w:val="20"/>
              </w:rPr>
              <w:t>Must be in accordance with sections 5.22-5.25 of this policy and the University’s Records Management Policy</w:t>
            </w:r>
          </w:p>
        </w:tc>
      </w:tr>
      <w:tr w:rsidR="001672CB" w:rsidRPr="008865D6" w14:paraId="34D25F9A" w14:textId="77777777" w:rsidTr="00930868">
        <w:tc>
          <w:tcPr>
            <w:tcW w:w="1593" w:type="pct"/>
            <w:tcBorders>
              <w:top w:val="outset" w:sz="6" w:space="0" w:color="auto"/>
              <w:left w:val="outset" w:sz="6" w:space="0" w:color="auto"/>
              <w:bottom w:val="outset" w:sz="6" w:space="0" w:color="auto"/>
              <w:right w:val="outset" w:sz="6" w:space="0" w:color="auto"/>
            </w:tcBorders>
          </w:tcPr>
          <w:p w14:paraId="09ED33C5" w14:textId="77777777" w:rsidR="001672CB" w:rsidRPr="008865D6" w:rsidRDefault="00777272">
            <w:pPr>
              <w:rPr>
                <w:rFonts w:ascii="Source Sans Pro" w:eastAsia="Arial" w:hAnsi="Source Sans Pro" w:cs="Arial"/>
                <w:color w:val="000000"/>
                <w:sz w:val="20"/>
                <w:szCs w:val="20"/>
              </w:rPr>
            </w:pPr>
            <w:r w:rsidRPr="008865D6">
              <w:rPr>
                <w:rFonts w:ascii="Source Sans Pro" w:eastAsia="Arial" w:hAnsi="Source Sans Pro" w:cs="Arial"/>
                <w:color w:val="000000"/>
                <w:sz w:val="20"/>
                <w:szCs w:val="20"/>
              </w:rPr>
              <w:t>Ensure that the student’s academic record is updated in the student management system</w:t>
            </w:r>
          </w:p>
        </w:tc>
        <w:tc>
          <w:tcPr>
            <w:tcW w:w="1378" w:type="pct"/>
            <w:tcBorders>
              <w:top w:val="outset" w:sz="6" w:space="0" w:color="auto"/>
              <w:left w:val="outset" w:sz="6" w:space="0" w:color="auto"/>
              <w:bottom w:val="outset" w:sz="6" w:space="0" w:color="auto"/>
              <w:right w:val="outset" w:sz="6" w:space="0" w:color="auto"/>
            </w:tcBorders>
          </w:tcPr>
          <w:p w14:paraId="6BE7B5B3" w14:textId="77777777" w:rsidR="001672CB" w:rsidRPr="008865D6" w:rsidRDefault="00777272">
            <w:pPr>
              <w:rPr>
                <w:rFonts w:ascii="Source Sans Pro" w:eastAsia="Arial" w:hAnsi="Source Sans Pro" w:cs="Arial"/>
                <w:color w:val="000000"/>
                <w:sz w:val="20"/>
                <w:szCs w:val="20"/>
              </w:rPr>
            </w:pPr>
            <w:r w:rsidRPr="008865D6">
              <w:rPr>
                <w:rFonts w:ascii="Source Sans Pro" w:eastAsia="Arial" w:hAnsi="Source Sans Pro" w:cs="Arial"/>
                <w:color w:val="000000"/>
                <w:sz w:val="20"/>
                <w:szCs w:val="20"/>
              </w:rPr>
              <w:t>Academic Registrar</w:t>
            </w:r>
          </w:p>
        </w:tc>
        <w:tc>
          <w:tcPr>
            <w:tcW w:w="2029" w:type="pct"/>
            <w:tcBorders>
              <w:top w:val="outset" w:sz="6" w:space="0" w:color="auto"/>
              <w:left w:val="outset" w:sz="6" w:space="0" w:color="auto"/>
              <w:bottom w:val="outset" w:sz="6" w:space="0" w:color="auto"/>
              <w:right w:val="outset" w:sz="6" w:space="0" w:color="auto"/>
            </w:tcBorders>
          </w:tcPr>
          <w:p w14:paraId="33328984" w14:textId="77777777" w:rsidR="001672CB" w:rsidRPr="008865D6" w:rsidRDefault="00777272">
            <w:pPr>
              <w:rPr>
                <w:rFonts w:ascii="Source Sans Pro" w:eastAsia="Arial" w:hAnsi="Source Sans Pro" w:cs="Arial"/>
                <w:color w:val="000000"/>
                <w:sz w:val="20"/>
                <w:szCs w:val="20"/>
              </w:rPr>
            </w:pPr>
            <w:r w:rsidRPr="008865D6">
              <w:rPr>
                <w:rFonts w:ascii="Source Sans Pro" w:eastAsia="Arial" w:hAnsi="Source Sans Pro" w:cs="Arial"/>
                <w:color w:val="000000"/>
                <w:sz w:val="20"/>
                <w:szCs w:val="20"/>
              </w:rPr>
              <w:t> </w:t>
            </w:r>
          </w:p>
        </w:tc>
      </w:tr>
    </w:tbl>
    <w:p w14:paraId="05AA57D6" w14:textId="63A9D205" w:rsidR="001672CB" w:rsidRDefault="00777272" w:rsidP="00394663">
      <w:pPr>
        <w:pStyle w:val="MPLHeading1"/>
      </w:pPr>
      <w:r>
        <w:t>Definitions</w:t>
      </w:r>
    </w:p>
    <w:p w14:paraId="3F4AC21A" w14:textId="77777777" w:rsidR="001672CB" w:rsidRDefault="00777272" w:rsidP="00F06D31">
      <w:pPr>
        <w:pStyle w:val="MPLParapgrah"/>
      </w:pPr>
      <w:r>
        <w:rPr>
          <w:b/>
          <w:bCs/>
        </w:rPr>
        <w:t>academic progress decision</w:t>
      </w:r>
      <w:r>
        <w:t> means a decision made under the Academic Board Regulation, Part 7 – Academic Progress and any University policy regarding student academic progress.</w:t>
      </w:r>
    </w:p>
    <w:p w14:paraId="32052402" w14:textId="77777777" w:rsidR="001672CB" w:rsidRDefault="00777272" w:rsidP="00F06D31">
      <w:pPr>
        <w:pStyle w:val="MPLParapgrah"/>
      </w:pPr>
      <w:r>
        <w:rPr>
          <w:b/>
          <w:bCs/>
        </w:rPr>
        <w:t>appellant</w:t>
      </w:r>
      <w:r>
        <w:t> means the person making the appeal.</w:t>
      </w:r>
    </w:p>
    <w:p w14:paraId="0A431BEC" w14:textId="77777777" w:rsidR="001672CB" w:rsidRDefault="00777272" w:rsidP="00F06D31">
      <w:pPr>
        <w:pStyle w:val="MPLParapgrah"/>
      </w:pPr>
      <w:r>
        <w:rPr>
          <w:b/>
          <w:bCs/>
        </w:rPr>
        <w:t>Australian legal practitioner</w:t>
      </w:r>
      <w:r>
        <w:t xml:space="preserve"> has the same meaning as in the </w:t>
      </w:r>
      <w:r>
        <w:rPr>
          <w:i/>
          <w:iCs/>
        </w:rPr>
        <w:t xml:space="preserve">Legal Profession Uniform Law Application Act 2014 </w:t>
      </w:r>
      <w:r>
        <w:t>(Vic).</w:t>
      </w:r>
    </w:p>
    <w:p w14:paraId="4B92F33E" w14:textId="751156D4" w:rsidR="001672CB" w:rsidRDefault="00777272" w:rsidP="00F06D31">
      <w:pPr>
        <w:pStyle w:val="MPLParapgrah"/>
      </w:pPr>
      <w:r>
        <w:rPr>
          <w:b/>
          <w:bCs/>
        </w:rPr>
        <w:t>Board</w:t>
      </w:r>
      <w:r>
        <w:t xml:space="preserve"> means the </w:t>
      </w:r>
      <w:hyperlink r:id="rId17" w:history="1">
        <w:r>
          <w:rPr>
            <w:color w:val="0000FF"/>
            <w:u w:val="single"/>
          </w:rPr>
          <w:t>Academic Board</w:t>
        </w:r>
      </w:hyperlink>
      <w:r>
        <w:t xml:space="preserve"> of the University of Melbourne.</w:t>
      </w:r>
    </w:p>
    <w:p w14:paraId="296F6029" w14:textId="77777777" w:rsidR="001672CB" w:rsidRDefault="00777272" w:rsidP="00F06D31">
      <w:pPr>
        <w:pStyle w:val="MPLParapgrah"/>
      </w:pPr>
      <w:r>
        <w:rPr>
          <w:b/>
          <w:bCs/>
        </w:rPr>
        <w:t>eligible person</w:t>
      </w:r>
      <w:r>
        <w:t> means someone who is not a current student, but who is eligible under the Selection and Admission Policy to lodge an appeal.</w:t>
      </w:r>
    </w:p>
    <w:p w14:paraId="30C8C483" w14:textId="77777777" w:rsidR="001672CB" w:rsidRDefault="00777272" w:rsidP="00F06D31">
      <w:pPr>
        <w:pStyle w:val="MPLParapgrah"/>
      </w:pPr>
      <w:r>
        <w:rPr>
          <w:b/>
          <w:bCs/>
        </w:rPr>
        <w:t>exclusion for a notifiable disease</w:t>
      </w:r>
      <w:r>
        <w:t> means a decision made under the Vice-Chancellor Regulation, Part 6 – Student Conduct, section 31.</w:t>
      </w:r>
    </w:p>
    <w:p w14:paraId="05FB74C1" w14:textId="539DC58E" w:rsidR="001672CB" w:rsidRDefault="00777272" w:rsidP="00F06D31">
      <w:pPr>
        <w:pStyle w:val="MPLParapgrah"/>
      </w:pPr>
      <w:r>
        <w:rPr>
          <w:b/>
          <w:bCs/>
        </w:rPr>
        <w:t>grievance decision</w:t>
      </w:r>
      <w:r>
        <w:t> means a decision made under the Student Complaints and Grievances Policy.</w:t>
      </w:r>
    </w:p>
    <w:p w14:paraId="1ABACE4E" w14:textId="77777777" w:rsidR="001672CB" w:rsidRDefault="00777272" w:rsidP="00F06D31">
      <w:pPr>
        <w:pStyle w:val="MPLParapgrah"/>
      </w:pPr>
      <w:r>
        <w:rPr>
          <w:b/>
          <w:bCs/>
        </w:rPr>
        <w:t>natural justice </w:t>
      </w:r>
      <w:r>
        <w:t>is a legal concept embodying the idea that ‘procedural fairness’ be observed by decision making bodies in the consideration of a case. Natural justice requires that:</w:t>
      </w:r>
    </w:p>
    <w:p w14:paraId="0B89570A" w14:textId="77777777" w:rsidR="001672CB" w:rsidRDefault="00777272" w:rsidP="00F06D31">
      <w:pPr>
        <w:pStyle w:val="MPLParagraphlevel4"/>
      </w:pPr>
      <w:r>
        <w:lastRenderedPageBreak/>
        <w:t>the person affected by a disputed matter be given the right to present their case including the opportunity to be heard, be provided with adequate notice of the allegations and the procedures to be used, and</w:t>
      </w:r>
    </w:p>
    <w:p w14:paraId="2EDCBFCC" w14:textId="77777777" w:rsidR="001672CB" w:rsidRDefault="00777272" w:rsidP="00F06D31">
      <w:pPr>
        <w:pStyle w:val="MPLParagraphlevel4"/>
      </w:pPr>
      <w:r>
        <w:t>members of the decision making body be free of bias and perceived bias or other personal interest in the outcome; and that these principles are incorporated within a clearly defined procedural framework.</w:t>
      </w:r>
    </w:p>
    <w:p w14:paraId="65B6D28B" w14:textId="77777777" w:rsidR="001672CB" w:rsidRDefault="00777272" w:rsidP="00F06D31">
      <w:pPr>
        <w:pStyle w:val="MPLParapgrah"/>
      </w:pPr>
      <w:r>
        <w:rPr>
          <w:b/>
          <w:bCs/>
        </w:rPr>
        <w:t>notice</w:t>
      </w:r>
      <w:r>
        <w:t> means, unless otherwise specified, a notice that is sent to a student’s University email address, or provided in person, or sent either by post or by email, to a student's last known postal or email address.</w:t>
      </w:r>
    </w:p>
    <w:p w14:paraId="31B80BBE" w14:textId="77777777" w:rsidR="001672CB" w:rsidRDefault="00777272" w:rsidP="00F06D31">
      <w:pPr>
        <w:pStyle w:val="MPLParapgrah"/>
      </w:pPr>
      <w:r>
        <w:rPr>
          <w:b/>
          <w:bCs/>
        </w:rPr>
        <w:t>respondent </w:t>
      </w:r>
      <w:r>
        <w:t>means the head of the department, associate dean, dean of the faculty, chair/member of the Course Unsatisfactory Progress Committee, or the administrative director or manager who takes responsibility for the area related to the matter in the notice of appeal.</w:t>
      </w:r>
    </w:p>
    <w:p w14:paraId="39052814" w14:textId="77777777" w:rsidR="001672CB" w:rsidRDefault="00777272" w:rsidP="00F06D31">
      <w:pPr>
        <w:pStyle w:val="MPLParapgrah"/>
      </w:pPr>
      <w:r>
        <w:rPr>
          <w:b/>
          <w:bCs/>
        </w:rPr>
        <w:t>selection decision</w:t>
      </w:r>
      <w:r>
        <w:t> means a final decision made under any University policy or procedure relating to admission decisions.</w:t>
      </w:r>
    </w:p>
    <w:p w14:paraId="15DF69CD" w14:textId="77777777" w:rsidR="001672CB" w:rsidRDefault="00777272" w:rsidP="00F06D31">
      <w:pPr>
        <w:pStyle w:val="MPLParapgrah"/>
      </w:pPr>
      <w:bookmarkStart w:id="8" w:name="_Hlk106195325"/>
      <w:r>
        <w:rPr>
          <w:b/>
          <w:bCs/>
        </w:rPr>
        <w:t>statutory decision</w:t>
      </w:r>
      <w:r>
        <w:t> means a decision in respect of which Commonwealth or State legislation requires the University to provide a right of appeal to a student or eligible person which is not covered by another appeal process.</w:t>
      </w:r>
    </w:p>
    <w:bookmarkEnd w:id="8"/>
    <w:p w14:paraId="36EA8B7B" w14:textId="123A6890" w:rsidR="001672CB" w:rsidRDefault="00777272" w:rsidP="00F06D31">
      <w:pPr>
        <w:pStyle w:val="MPLParapgrah"/>
      </w:pPr>
      <w:r>
        <w:rPr>
          <w:b/>
          <w:bCs/>
        </w:rPr>
        <w:t>student</w:t>
      </w:r>
      <w:r>
        <w:t xml:space="preserve"> in this policy, for the purposes of </w:t>
      </w:r>
      <w:r w:rsidR="003A7BA1">
        <w:t xml:space="preserve">student </w:t>
      </w:r>
      <w:r>
        <w:t xml:space="preserve">academic and </w:t>
      </w:r>
      <w:r w:rsidR="003A7BA1">
        <w:t xml:space="preserve">student </w:t>
      </w:r>
      <w:r>
        <w:t>general misconduct appeals, has the meaning given to it in the Academic Board Regulation Part 10 - Student Appeals to Academic Board, and the Vice-Chancellor Regulation Part 6 – Student Conduct and Part 7 - Student Appeals Under the Vice-Chancellor Regulation, whichever applies.</w:t>
      </w:r>
    </w:p>
    <w:p w14:paraId="685807A3" w14:textId="77777777" w:rsidR="00BA11ED" w:rsidRDefault="00BA11ED" w:rsidP="00F06D31">
      <w:pPr>
        <w:pStyle w:val="MPLParapgrah"/>
      </w:pPr>
      <w:r>
        <w:rPr>
          <w:b/>
          <w:bCs/>
        </w:rPr>
        <w:t>student academic misconduct decision</w:t>
      </w:r>
      <w:r>
        <w:t xml:space="preserve"> means a decision made under Academic Board Regulation, Part 9 – Student Academic Integrity and any University policy regarding student academic integrity.</w:t>
      </w:r>
    </w:p>
    <w:p w14:paraId="5EF5B563" w14:textId="2BCC11E9" w:rsidR="001672CB" w:rsidRDefault="00777272" w:rsidP="00F06D31">
      <w:pPr>
        <w:pStyle w:val="MPLParapgrah"/>
      </w:pPr>
      <w:r>
        <w:rPr>
          <w:b/>
          <w:bCs/>
        </w:rPr>
        <w:t>student appeal panel</w:t>
      </w:r>
      <w:r>
        <w:t xml:space="preserve"> also means appeal </w:t>
      </w:r>
      <w:r w:rsidR="00F72C40">
        <w:t xml:space="preserve">panel </w:t>
      </w:r>
      <w:r>
        <w:t>(as set out in the Vice-Chancellor’s Regulation).</w:t>
      </w:r>
    </w:p>
    <w:p w14:paraId="133C90A7" w14:textId="77777777" w:rsidR="001672CB" w:rsidRDefault="00777272" w:rsidP="00F06D31">
      <w:pPr>
        <w:pStyle w:val="MPLParapgrah"/>
      </w:pPr>
      <w:r>
        <w:rPr>
          <w:b/>
          <w:bCs/>
        </w:rPr>
        <w:t xml:space="preserve">student fitness to practice </w:t>
      </w:r>
      <w:r>
        <w:t>means a decision made under the Academic Board Regulation, Part 8 – Student Fitness to Practice, and any University policy regarding student fitness to practice.</w:t>
      </w:r>
    </w:p>
    <w:p w14:paraId="1586098C" w14:textId="77777777" w:rsidR="001672CB" w:rsidRDefault="00777272" w:rsidP="00F06D31">
      <w:pPr>
        <w:pStyle w:val="MPLParapgrah"/>
      </w:pPr>
      <w:r>
        <w:rPr>
          <w:b/>
          <w:bCs/>
        </w:rPr>
        <w:t xml:space="preserve">student fitness to study </w:t>
      </w:r>
      <w:r>
        <w:t>means a decision made under the Vice-Chancellor Regulation, Part 6 – Student Conduct, section 32 and any University policy regarding student fitness to study.</w:t>
      </w:r>
    </w:p>
    <w:p w14:paraId="1D2FBF64" w14:textId="77777777" w:rsidR="00BA11ED" w:rsidRDefault="00BA11ED" w:rsidP="00F06D31">
      <w:pPr>
        <w:pStyle w:val="MPLParapgrah"/>
      </w:pPr>
      <w:r>
        <w:rPr>
          <w:b/>
          <w:bCs/>
        </w:rPr>
        <w:t>student general misconduct decision</w:t>
      </w:r>
      <w:r>
        <w:t> means a decision made under the Vice-Chancellor Regulation, Part 6 – Student Conduct and any University policy regarding student general misconduct.</w:t>
      </w:r>
    </w:p>
    <w:p w14:paraId="0E0E3AA3" w14:textId="4AB4721C" w:rsidR="00384C97" w:rsidRDefault="00384C97" w:rsidP="00F06D31">
      <w:pPr>
        <w:pStyle w:val="MPLParapgrah"/>
      </w:pPr>
      <w:r>
        <w:rPr>
          <w:b/>
          <w:bCs/>
        </w:rPr>
        <w:t>suspension</w:t>
      </w:r>
      <w:r>
        <w:t xml:space="preserve"> means </w:t>
      </w:r>
      <w:r w:rsidR="00632CBD" w:rsidRPr="00632CBD">
        <w:t>the suspension of a student’s enrolment at the University for a specified period at the end of which the student’s enrolment is reinstated unless otherwise requested by the student.  “Suspend” and “suspended” have a corresponding meaning.</w:t>
      </w:r>
    </w:p>
    <w:p w14:paraId="09F785CE" w14:textId="42C12DED" w:rsidR="001672CB" w:rsidRDefault="00777272" w:rsidP="00F06D31">
      <w:pPr>
        <w:pStyle w:val="MPLParapgrah"/>
      </w:pPr>
      <w:r>
        <w:rPr>
          <w:b/>
          <w:bCs/>
        </w:rPr>
        <w:t>termination</w:t>
      </w:r>
      <w:r>
        <w:t> </w:t>
      </w:r>
      <w:r w:rsidR="003A581C" w:rsidRPr="003A581C">
        <w:rPr>
          <w:b/>
          <w:bCs/>
        </w:rPr>
        <w:t>of enrolment</w:t>
      </w:r>
      <w:r w:rsidR="003A581C" w:rsidRPr="003A581C">
        <w:t xml:space="preserve"> means the termination of a student’s enrolment at the University and cancellation of the student’s enrolment.</w:t>
      </w:r>
      <w:r>
        <w:t xml:space="preserve"> "Terminate" or "terminated" have a corresponding meaning.</w:t>
      </w:r>
    </w:p>
    <w:p w14:paraId="39658FDE" w14:textId="77777777" w:rsidR="00800DB6" w:rsidRDefault="00777272" w:rsidP="00F06D31">
      <w:pPr>
        <w:pStyle w:val="MPLParapgrah"/>
        <w:rPr>
          <w:b/>
          <w:bCs/>
        </w:rPr>
      </w:pPr>
      <w:r>
        <w:rPr>
          <w:b/>
          <w:bCs/>
        </w:rPr>
        <w:t>University</w:t>
      </w:r>
      <w:r>
        <w:t> means the University of Melbourne.</w:t>
      </w:r>
      <w:r w:rsidR="00800DB6" w:rsidRPr="00800DB6">
        <w:rPr>
          <w:b/>
          <w:bCs/>
        </w:rPr>
        <w:t xml:space="preserve"> </w:t>
      </w:r>
    </w:p>
    <w:p w14:paraId="77D4D4B3" w14:textId="324167A2" w:rsidR="001672CB" w:rsidRDefault="00800DB6" w:rsidP="00F06D31">
      <w:pPr>
        <w:pStyle w:val="MPLParapgrah"/>
      </w:pPr>
      <w:r>
        <w:rPr>
          <w:b/>
          <w:bCs/>
        </w:rPr>
        <w:lastRenderedPageBreak/>
        <w:t>University business day</w:t>
      </w:r>
      <w:r>
        <w:t> means a day that is not a Saturday, Sunday or a University holiday as indicated on the University calendar (as amended from time to time).</w:t>
      </w:r>
    </w:p>
    <w:p w14:paraId="3AF0BEF4" w14:textId="77777777" w:rsidR="001672CB" w:rsidRDefault="00777272" w:rsidP="0035748B">
      <w:pPr>
        <w:pStyle w:val="MPLNoNumberingHeadings"/>
      </w:pPr>
      <w:r>
        <w:t>POLICY APPROVER</w:t>
      </w:r>
    </w:p>
    <w:p w14:paraId="40DA6E15" w14:textId="77777777" w:rsidR="001672CB" w:rsidRDefault="00777272" w:rsidP="000B32FB">
      <w:pPr>
        <w:pStyle w:val="MPLParapgrah"/>
      </w:pPr>
      <w:r>
        <w:t>Academic Board</w:t>
      </w:r>
    </w:p>
    <w:p w14:paraId="16BDF47F" w14:textId="77777777" w:rsidR="001672CB" w:rsidRDefault="00777272" w:rsidP="0035748B">
      <w:pPr>
        <w:pStyle w:val="MPLNoNumberingHeadings"/>
      </w:pPr>
      <w:r>
        <w:t>POLICY STEWARD</w:t>
      </w:r>
    </w:p>
    <w:p w14:paraId="10596FF3" w14:textId="77777777" w:rsidR="001672CB" w:rsidRDefault="00777272" w:rsidP="000B32FB">
      <w:pPr>
        <w:pStyle w:val="MPLParapgrah"/>
      </w:pPr>
      <w:r>
        <w:t>Academic Secretary</w:t>
      </w:r>
    </w:p>
    <w:p w14:paraId="52287F83" w14:textId="77777777" w:rsidR="001672CB" w:rsidRDefault="00777272" w:rsidP="0035748B">
      <w:pPr>
        <w:pStyle w:val="MPLNoNumberingHeadings"/>
      </w:pPr>
      <w:r>
        <w:t>REVIEW</w:t>
      </w:r>
    </w:p>
    <w:p w14:paraId="76B0B44E" w14:textId="77777777" w:rsidR="001672CB" w:rsidRDefault="00777272" w:rsidP="000B32FB">
      <w:pPr>
        <w:pStyle w:val="MPLParapgrah"/>
      </w:pPr>
      <w:r>
        <w:t>This policy is to be reviewed by 26 March 2024.</w:t>
      </w:r>
    </w:p>
    <w:p w14:paraId="74020DDE" w14:textId="77777777" w:rsidR="001672CB" w:rsidRDefault="00777272" w:rsidP="0035748B">
      <w:pPr>
        <w:pStyle w:val="MPLNoNumberingHeadings"/>
      </w:pPr>
      <w:r>
        <w:t>VERSION HISTORY</w:t>
      </w:r>
    </w:p>
    <w:tbl>
      <w:tblPr>
        <w:tblW w:w="5000" w:type="pct"/>
        <w:tblBorders>
          <w:top w:val="outset" w:sz="6" w:space="0" w:color="auto"/>
          <w:left w:val="outset" w:sz="6" w:space="0" w:color="auto"/>
          <w:bottom w:val="outset" w:sz="6" w:space="0" w:color="auto"/>
          <w:right w:val="outset" w:sz="6" w:space="0" w:color="auto"/>
          <w:insideH w:val="nil"/>
          <w:insideV w:val="nil"/>
        </w:tblBorders>
        <w:tblCellMar>
          <w:top w:w="60" w:type="dxa"/>
          <w:left w:w="60" w:type="dxa"/>
          <w:bottom w:w="60" w:type="dxa"/>
          <w:right w:w="60" w:type="dxa"/>
        </w:tblCellMar>
        <w:tblLook w:val="04A0" w:firstRow="1" w:lastRow="0" w:firstColumn="1" w:lastColumn="0" w:noHBand="0" w:noVBand="1"/>
      </w:tblPr>
      <w:tblGrid>
        <w:gridCol w:w="933"/>
        <w:gridCol w:w="1521"/>
        <w:gridCol w:w="1613"/>
        <w:gridCol w:w="1613"/>
        <w:gridCol w:w="2944"/>
      </w:tblGrid>
      <w:tr w:rsidR="001672CB" w:rsidRPr="009F749A" w14:paraId="219FB929" w14:textId="77777777" w:rsidTr="17E4B3F3">
        <w:tc>
          <w:tcPr>
            <w:tcW w:w="541" w:type="pct"/>
            <w:tcBorders>
              <w:top w:val="outset" w:sz="6" w:space="0" w:color="auto"/>
              <w:left w:val="outset" w:sz="6" w:space="0" w:color="auto"/>
              <w:bottom w:val="outset" w:sz="6" w:space="0" w:color="auto"/>
              <w:right w:val="outset" w:sz="6" w:space="0" w:color="auto"/>
            </w:tcBorders>
            <w:vAlign w:val="center"/>
          </w:tcPr>
          <w:p w14:paraId="0DDAEF78" w14:textId="77777777" w:rsidR="001672CB" w:rsidRPr="009F749A" w:rsidRDefault="00777272">
            <w:pPr>
              <w:rPr>
                <w:rFonts w:ascii="Source Sans Pro" w:eastAsia="Arial" w:hAnsi="Source Sans Pro" w:cs="Arial"/>
                <w:color w:val="000000"/>
                <w:sz w:val="20"/>
                <w:szCs w:val="20"/>
              </w:rPr>
            </w:pPr>
            <w:r w:rsidRPr="009F749A">
              <w:rPr>
                <w:rFonts w:ascii="Source Sans Pro" w:eastAsia="Arial" w:hAnsi="Source Sans Pro" w:cs="Arial"/>
                <w:b/>
                <w:bCs/>
                <w:color w:val="000000"/>
                <w:sz w:val="20"/>
                <w:szCs w:val="20"/>
              </w:rPr>
              <w:t>Version</w:t>
            </w:r>
          </w:p>
        </w:tc>
        <w:tc>
          <w:tcPr>
            <w:tcW w:w="882" w:type="pct"/>
            <w:tcBorders>
              <w:top w:val="outset" w:sz="6" w:space="0" w:color="auto"/>
              <w:left w:val="outset" w:sz="6" w:space="0" w:color="auto"/>
              <w:bottom w:val="outset" w:sz="6" w:space="0" w:color="auto"/>
              <w:right w:val="outset" w:sz="6" w:space="0" w:color="auto"/>
            </w:tcBorders>
            <w:vAlign w:val="center"/>
          </w:tcPr>
          <w:p w14:paraId="23217EC6" w14:textId="77777777" w:rsidR="001672CB" w:rsidRPr="009F749A" w:rsidRDefault="00777272">
            <w:pPr>
              <w:rPr>
                <w:rFonts w:ascii="Source Sans Pro" w:eastAsia="Arial" w:hAnsi="Source Sans Pro" w:cs="Arial"/>
                <w:color w:val="000000"/>
                <w:sz w:val="20"/>
                <w:szCs w:val="20"/>
              </w:rPr>
            </w:pPr>
            <w:r w:rsidRPr="009F749A">
              <w:rPr>
                <w:rFonts w:ascii="Source Sans Pro" w:eastAsia="Arial" w:hAnsi="Source Sans Pro" w:cs="Arial"/>
                <w:b/>
                <w:bCs/>
                <w:color w:val="000000"/>
                <w:sz w:val="20"/>
                <w:szCs w:val="20"/>
              </w:rPr>
              <w:t>Approved By</w:t>
            </w:r>
          </w:p>
        </w:tc>
        <w:tc>
          <w:tcPr>
            <w:tcW w:w="935" w:type="pct"/>
            <w:tcBorders>
              <w:top w:val="outset" w:sz="6" w:space="0" w:color="auto"/>
              <w:left w:val="outset" w:sz="6" w:space="0" w:color="auto"/>
              <w:bottom w:val="outset" w:sz="6" w:space="0" w:color="auto"/>
              <w:right w:val="outset" w:sz="6" w:space="0" w:color="auto"/>
            </w:tcBorders>
            <w:vAlign w:val="center"/>
          </w:tcPr>
          <w:p w14:paraId="570943E6" w14:textId="77777777" w:rsidR="001672CB" w:rsidRPr="009F749A" w:rsidRDefault="00777272">
            <w:pPr>
              <w:rPr>
                <w:rFonts w:ascii="Source Sans Pro" w:eastAsia="Arial" w:hAnsi="Source Sans Pro" w:cs="Arial"/>
                <w:color w:val="000000"/>
                <w:sz w:val="20"/>
                <w:szCs w:val="20"/>
              </w:rPr>
            </w:pPr>
            <w:r w:rsidRPr="009F749A">
              <w:rPr>
                <w:rFonts w:ascii="Source Sans Pro" w:eastAsia="Arial" w:hAnsi="Source Sans Pro" w:cs="Arial"/>
                <w:b/>
                <w:bCs/>
                <w:color w:val="000000"/>
                <w:sz w:val="20"/>
                <w:szCs w:val="20"/>
              </w:rPr>
              <w:t>Approval Date</w:t>
            </w:r>
          </w:p>
        </w:tc>
        <w:tc>
          <w:tcPr>
            <w:tcW w:w="935" w:type="pct"/>
            <w:tcBorders>
              <w:top w:val="outset" w:sz="6" w:space="0" w:color="auto"/>
              <w:left w:val="outset" w:sz="6" w:space="0" w:color="auto"/>
              <w:bottom w:val="outset" w:sz="6" w:space="0" w:color="auto"/>
              <w:right w:val="outset" w:sz="6" w:space="0" w:color="auto"/>
            </w:tcBorders>
            <w:vAlign w:val="center"/>
          </w:tcPr>
          <w:p w14:paraId="197EC3D2" w14:textId="77777777" w:rsidR="001672CB" w:rsidRPr="009F749A" w:rsidRDefault="00777272">
            <w:pPr>
              <w:rPr>
                <w:rFonts w:ascii="Source Sans Pro" w:eastAsia="Arial" w:hAnsi="Source Sans Pro" w:cs="Arial"/>
                <w:color w:val="000000"/>
                <w:sz w:val="20"/>
                <w:szCs w:val="20"/>
              </w:rPr>
            </w:pPr>
            <w:r w:rsidRPr="009F749A">
              <w:rPr>
                <w:rFonts w:ascii="Source Sans Pro" w:eastAsia="Arial" w:hAnsi="Source Sans Pro" w:cs="Arial"/>
                <w:b/>
                <w:bCs/>
                <w:color w:val="000000"/>
                <w:sz w:val="20"/>
                <w:szCs w:val="20"/>
              </w:rPr>
              <w:t>Effective Date</w:t>
            </w:r>
          </w:p>
        </w:tc>
        <w:tc>
          <w:tcPr>
            <w:tcW w:w="1707" w:type="pct"/>
            <w:tcBorders>
              <w:top w:val="outset" w:sz="6" w:space="0" w:color="auto"/>
              <w:left w:val="outset" w:sz="6" w:space="0" w:color="auto"/>
              <w:bottom w:val="outset" w:sz="6" w:space="0" w:color="auto"/>
              <w:right w:val="outset" w:sz="6" w:space="0" w:color="auto"/>
            </w:tcBorders>
            <w:vAlign w:val="center"/>
          </w:tcPr>
          <w:p w14:paraId="2F2B0D08" w14:textId="77777777" w:rsidR="001672CB" w:rsidRPr="009F749A" w:rsidRDefault="00777272">
            <w:pPr>
              <w:rPr>
                <w:rFonts w:ascii="Source Sans Pro" w:eastAsia="Arial" w:hAnsi="Source Sans Pro" w:cs="Arial"/>
                <w:color w:val="000000"/>
                <w:sz w:val="20"/>
                <w:szCs w:val="20"/>
              </w:rPr>
            </w:pPr>
            <w:r w:rsidRPr="009F749A">
              <w:rPr>
                <w:rFonts w:ascii="Source Sans Pro" w:eastAsia="Arial" w:hAnsi="Source Sans Pro" w:cs="Arial"/>
                <w:b/>
                <w:bCs/>
                <w:color w:val="000000"/>
                <w:sz w:val="20"/>
                <w:szCs w:val="20"/>
              </w:rPr>
              <w:t>Sections Modified</w:t>
            </w:r>
          </w:p>
        </w:tc>
      </w:tr>
      <w:tr w:rsidR="001672CB" w:rsidRPr="009F749A" w14:paraId="6FB56DF3" w14:textId="77777777" w:rsidTr="17E4B3F3">
        <w:trPr>
          <w:trHeight w:val="825"/>
        </w:trPr>
        <w:tc>
          <w:tcPr>
            <w:tcW w:w="541" w:type="pct"/>
            <w:tcBorders>
              <w:top w:val="outset" w:sz="6" w:space="0" w:color="auto"/>
              <w:left w:val="outset" w:sz="6" w:space="0" w:color="auto"/>
              <w:bottom w:val="outset" w:sz="6" w:space="0" w:color="auto"/>
              <w:right w:val="outset" w:sz="6" w:space="0" w:color="auto"/>
            </w:tcBorders>
            <w:vAlign w:val="center"/>
          </w:tcPr>
          <w:p w14:paraId="078F17CA" w14:textId="77777777" w:rsidR="001672CB" w:rsidRPr="009F749A" w:rsidRDefault="00777272">
            <w:pPr>
              <w:rPr>
                <w:rFonts w:ascii="Source Sans Pro" w:eastAsia="Arial" w:hAnsi="Source Sans Pro" w:cs="Arial"/>
                <w:color w:val="000000"/>
                <w:sz w:val="20"/>
                <w:szCs w:val="20"/>
              </w:rPr>
            </w:pPr>
            <w:r w:rsidRPr="009F749A">
              <w:rPr>
                <w:rFonts w:ascii="Source Sans Pro" w:eastAsia="Arial" w:hAnsi="Source Sans Pro" w:cs="Arial"/>
                <w:color w:val="000000"/>
                <w:sz w:val="20"/>
                <w:szCs w:val="20"/>
              </w:rPr>
              <w:t>1</w:t>
            </w:r>
          </w:p>
        </w:tc>
        <w:tc>
          <w:tcPr>
            <w:tcW w:w="882" w:type="pct"/>
            <w:tcBorders>
              <w:top w:val="outset" w:sz="6" w:space="0" w:color="auto"/>
              <w:left w:val="outset" w:sz="6" w:space="0" w:color="auto"/>
              <w:bottom w:val="outset" w:sz="6" w:space="0" w:color="auto"/>
              <w:right w:val="outset" w:sz="6" w:space="0" w:color="auto"/>
            </w:tcBorders>
            <w:vAlign w:val="center"/>
          </w:tcPr>
          <w:p w14:paraId="17905536" w14:textId="77777777" w:rsidR="001672CB" w:rsidRPr="009F749A" w:rsidRDefault="00777272">
            <w:pPr>
              <w:rPr>
                <w:rFonts w:ascii="Source Sans Pro" w:eastAsia="Arial" w:hAnsi="Source Sans Pro" w:cs="Arial"/>
                <w:color w:val="000000"/>
                <w:sz w:val="20"/>
                <w:szCs w:val="20"/>
              </w:rPr>
            </w:pPr>
            <w:r w:rsidRPr="009F749A">
              <w:rPr>
                <w:rFonts w:ascii="Source Sans Pro" w:eastAsia="Arial" w:hAnsi="Source Sans Pro" w:cs="Arial"/>
                <w:color w:val="000000"/>
                <w:sz w:val="20"/>
                <w:szCs w:val="20"/>
              </w:rPr>
              <w:t>President, Academic Board</w:t>
            </w:r>
          </w:p>
        </w:tc>
        <w:tc>
          <w:tcPr>
            <w:tcW w:w="935" w:type="pct"/>
            <w:tcBorders>
              <w:top w:val="outset" w:sz="6" w:space="0" w:color="auto"/>
              <w:left w:val="outset" w:sz="6" w:space="0" w:color="auto"/>
              <w:bottom w:val="outset" w:sz="6" w:space="0" w:color="auto"/>
              <w:right w:val="outset" w:sz="6" w:space="0" w:color="auto"/>
            </w:tcBorders>
            <w:vAlign w:val="center"/>
          </w:tcPr>
          <w:p w14:paraId="1721AE45" w14:textId="77777777" w:rsidR="001672CB" w:rsidRPr="009F749A" w:rsidRDefault="00777272">
            <w:pPr>
              <w:rPr>
                <w:rFonts w:ascii="Source Sans Pro" w:eastAsia="Arial" w:hAnsi="Source Sans Pro" w:cs="Arial"/>
                <w:color w:val="000000"/>
                <w:sz w:val="20"/>
                <w:szCs w:val="20"/>
              </w:rPr>
            </w:pPr>
            <w:r w:rsidRPr="009F749A">
              <w:rPr>
                <w:rFonts w:ascii="Source Sans Pro" w:eastAsia="Arial" w:hAnsi="Source Sans Pro" w:cs="Arial"/>
                <w:color w:val="000000"/>
                <w:sz w:val="20"/>
                <w:szCs w:val="20"/>
              </w:rPr>
              <w:t>12 May 2016</w:t>
            </w:r>
          </w:p>
        </w:tc>
        <w:tc>
          <w:tcPr>
            <w:tcW w:w="935" w:type="pct"/>
            <w:tcBorders>
              <w:top w:val="outset" w:sz="6" w:space="0" w:color="auto"/>
              <w:left w:val="outset" w:sz="6" w:space="0" w:color="auto"/>
              <w:bottom w:val="outset" w:sz="6" w:space="0" w:color="auto"/>
              <w:right w:val="outset" w:sz="6" w:space="0" w:color="auto"/>
            </w:tcBorders>
            <w:vAlign w:val="center"/>
          </w:tcPr>
          <w:p w14:paraId="022742A5" w14:textId="77777777" w:rsidR="001672CB" w:rsidRPr="009F749A" w:rsidRDefault="00777272">
            <w:pPr>
              <w:rPr>
                <w:rFonts w:ascii="Source Sans Pro" w:eastAsia="Arial" w:hAnsi="Source Sans Pro" w:cs="Arial"/>
                <w:color w:val="000000"/>
                <w:sz w:val="20"/>
                <w:szCs w:val="20"/>
              </w:rPr>
            </w:pPr>
            <w:r w:rsidRPr="009F749A">
              <w:rPr>
                <w:rFonts w:ascii="Source Sans Pro" w:eastAsia="Arial" w:hAnsi="Source Sans Pro" w:cs="Arial"/>
                <w:color w:val="000000"/>
                <w:sz w:val="20"/>
                <w:szCs w:val="20"/>
              </w:rPr>
              <w:t>21 July 2016</w:t>
            </w:r>
          </w:p>
        </w:tc>
        <w:tc>
          <w:tcPr>
            <w:tcW w:w="1707" w:type="pct"/>
            <w:tcBorders>
              <w:top w:val="outset" w:sz="6" w:space="0" w:color="auto"/>
              <w:left w:val="outset" w:sz="6" w:space="0" w:color="auto"/>
              <w:bottom w:val="outset" w:sz="6" w:space="0" w:color="auto"/>
              <w:right w:val="outset" w:sz="6" w:space="0" w:color="auto"/>
            </w:tcBorders>
            <w:vAlign w:val="center"/>
          </w:tcPr>
          <w:p w14:paraId="3734628C" w14:textId="77777777" w:rsidR="001672CB" w:rsidRPr="009F749A" w:rsidRDefault="00777272">
            <w:pPr>
              <w:rPr>
                <w:rFonts w:ascii="Source Sans Pro" w:eastAsia="Arial" w:hAnsi="Source Sans Pro" w:cs="Arial"/>
                <w:color w:val="000000"/>
                <w:sz w:val="20"/>
                <w:szCs w:val="20"/>
              </w:rPr>
            </w:pPr>
            <w:r w:rsidRPr="009F749A">
              <w:rPr>
                <w:rFonts w:ascii="Source Sans Pro" w:eastAsia="Arial" w:hAnsi="Source Sans Pro" w:cs="Arial"/>
                <w:color w:val="000000"/>
                <w:sz w:val="20"/>
                <w:szCs w:val="20"/>
              </w:rPr>
              <w:t>New Policy arising from the Policy Consolidation Project incorporating the former Appeals to the Academic Board Procedure (MPF1023).</w:t>
            </w:r>
          </w:p>
        </w:tc>
      </w:tr>
      <w:tr w:rsidR="001672CB" w:rsidRPr="009F749A" w14:paraId="2FEEF0E8" w14:textId="77777777" w:rsidTr="17E4B3F3">
        <w:trPr>
          <w:trHeight w:val="270"/>
        </w:trPr>
        <w:tc>
          <w:tcPr>
            <w:tcW w:w="541" w:type="pct"/>
            <w:tcBorders>
              <w:top w:val="outset" w:sz="6" w:space="0" w:color="auto"/>
              <w:left w:val="outset" w:sz="6" w:space="0" w:color="auto"/>
              <w:bottom w:val="outset" w:sz="6" w:space="0" w:color="auto"/>
              <w:right w:val="outset" w:sz="6" w:space="0" w:color="auto"/>
            </w:tcBorders>
            <w:vAlign w:val="center"/>
          </w:tcPr>
          <w:p w14:paraId="1E47F2FF" w14:textId="77777777" w:rsidR="001672CB" w:rsidRPr="009F749A" w:rsidRDefault="00777272">
            <w:pPr>
              <w:rPr>
                <w:rFonts w:ascii="Source Sans Pro" w:eastAsia="Arial" w:hAnsi="Source Sans Pro" w:cs="Arial"/>
                <w:color w:val="000000"/>
                <w:sz w:val="20"/>
                <w:szCs w:val="20"/>
              </w:rPr>
            </w:pPr>
            <w:r w:rsidRPr="009F749A">
              <w:rPr>
                <w:rFonts w:ascii="Source Sans Pro" w:eastAsia="Arial" w:hAnsi="Source Sans Pro" w:cs="Arial"/>
                <w:color w:val="000000"/>
                <w:sz w:val="20"/>
                <w:szCs w:val="20"/>
              </w:rPr>
              <w:t>2</w:t>
            </w:r>
          </w:p>
        </w:tc>
        <w:tc>
          <w:tcPr>
            <w:tcW w:w="882" w:type="pct"/>
            <w:tcBorders>
              <w:top w:val="outset" w:sz="6" w:space="0" w:color="auto"/>
              <w:left w:val="outset" w:sz="6" w:space="0" w:color="auto"/>
              <w:bottom w:val="outset" w:sz="6" w:space="0" w:color="auto"/>
              <w:right w:val="outset" w:sz="6" w:space="0" w:color="auto"/>
            </w:tcBorders>
            <w:vAlign w:val="center"/>
          </w:tcPr>
          <w:p w14:paraId="4941F3E2" w14:textId="77777777" w:rsidR="001672CB" w:rsidRPr="009F749A" w:rsidRDefault="00777272">
            <w:pPr>
              <w:rPr>
                <w:rFonts w:ascii="Source Sans Pro" w:eastAsia="Arial" w:hAnsi="Source Sans Pro" w:cs="Arial"/>
                <w:color w:val="000000"/>
                <w:sz w:val="20"/>
                <w:szCs w:val="20"/>
              </w:rPr>
            </w:pPr>
            <w:r w:rsidRPr="009F749A">
              <w:rPr>
                <w:rFonts w:ascii="Source Sans Pro" w:eastAsia="Arial" w:hAnsi="Source Sans Pro" w:cs="Arial"/>
                <w:color w:val="000000"/>
                <w:sz w:val="20"/>
                <w:szCs w:val="20"/>
              </w:rPr>
              <w:t>President, Academic Board</w:t>
            </w:r>
          </w:p>
        </w:tc>
        <w:tc>
          <w:tcPr>
            <w:tcW w:w="935" w:type="pct"/>
            <w:tcBorders>
              <w:top w:val="outset" w:sz="6" w:space="0" w:color="auto"/>
              <w:left w:val="outset" w:sz="6" w:space="0" w:color="auto"/>
              <w:bottom w:val="outset" w:sz="6" w:space="0" w:color="auto"/>
              <w:right w:val="outset" w:sz="6" w:space="0" w:color="auto"/>
            </w:tcBorders>
            <w:vAlign w:val="center"/>
          </w:tcPr>
          <w:p w14:paraId="0235F760" w14:textId="77777777" w:rsidR="001672CB" w:rsidRPr="009F749A" w:rsidRDefault="00777272">
            <w:pPr>
              <w:rPr>
                <w:rFonts w:ascii="Source Sans Pro" w:eastAsia="Arial" w:hAnsi="Source Sans Pro" w:cs="Arial"/>
                <w:color w:val="000000"/>
                <w:sz w:val="20"/>
                <w:szCs w:val="20"/>
              </w:rPr>
            </w:pPr>
            <w:r w:rsidRPr="009F749A">
              <w:rPr>
                <w:rFonts w:ascii="Source Sans Pro" w:eastAsia="Arial" w:hAnsi="Source Sans Pro" w:cs="Arial"/>
                <w:color w:val="000000"/>
                <w:sz w:val="20"/>
                <w:szCs w:val="20"/>
              </w:rPr>
              <w:t>6 September 2016</w:t>
            </w:r>
          </w:p>
        </w:tc>
        <w:tc>
          <w:tcPr>
            <w:tcW w:w="935" w:type="pct"/>
            <w:tcBorders>
              <w:top w:val="outset" w:sz="6" w:space="0" w:color="auto"/>
              <w:left w:val="outset" w:sz="6" w:space="0" w:color="auto"/>
              <w:bottom w:val="outset" w:sz="6" w:space="0" w:color="auto"/>
              <w:right w:val="outset" w:sz="6" w:space="0" w:color="auto"/>
            </w:tcBorders>
            <w:vAlign w:val="center"/>
          </w:tcPr>
          <w:p w14:paraId="6B5FE248" w14:textId="77777777" w:rsidR="001672CB" w:rsidRPr="009F749A" w:rsidRDefault="00777272">
            <w:pPr>
              <w:rPr>
                <w:rFonts w:ascii="Source Sans Pro" w:eastAsia="Arial" w:hAnsi="Source Sans Pro" w:cs="Arial"/>
                <w:color w:val="000000"/>
                <w:sz w:val="20"/>
                <w:szCs w:val="20"/>
              </w:rPr>
            </w:pPr>
            <w:r w:rsidRPr="009F749A">
              <w:rPr>
                <w:rFonts w:ascii="Source Sans Pro" w:eastAsia="Arial" w:hAnsi="Source Sans Pro" w:cs="Arial"/>
                <w:color w:val="000000"/>
                <w:sz w:val="20"/>
                <w:szCs w:val="20"/>
              </w:rPr>
              <w:t>7 September 2016</w:t>
            </w:r>
          </w:p>
        </w:tc>
        <w:tc>
          <w:tcPr>
            <w:tcW w:w="1707" w:type="pct"/>
            <w:tcBorders>
              <w:top w:val="outset" w:sz="6" w:space="0" w:color="auto"/>
              <w:left w:val="outset" w:sz="6" w:space="0" w:color="auto"/>
              <w:bottom w:val="outset" w:sz="6" w:space="0" w:color="auto"/>
              <w:right w:val="outset" w:sz="6" w:space="0" w:color="auto"/>
            </w:tcBorders>
            <w:vAlign w:val="center"/>
          </w:tcPr>
          <w:p w14:paraId="5878DE24" w14:textId="77777777" w:rsidR="001672CB" w:rsidRPr="009F749A" w:rsidRDefault="00777272">
            <w:pPr>
              <w:rPr>
                <w:rFonts w:ascii="Source Sans Pro" w:eastAsia="Arial" w:hAnsi="Source Sans Pro" w:cs="Arial"/>
                <w:color w:val="000000"/>
                <w:sz w:val="20"/>
                <w:szCs w:val="20"/>
              </w:rPr>
            </w:pPr>
            <w:r w:rsidRPr="009F749A">
              <w:rPr>
                <w:rFonts w:ascii="Source Sans Pro" w:eastAsia="Arial" w:hAnsi="Source Sans Pro" w:cs="Arial"/>
                <w:color w:val="000000"/>
                <w:sz w:val="20"/>
                <w:szCs w:val="20"/>
              </w:rPr>
              <w:t>Clarify section 4.3 (c) and (d).</w:t>
            </w:r>
          </w:p>
        </w:tc>
      </w:tr>
      <w:tr w:rsidR="001672CB" w:rsidRPr="009F749A" w14:paraId="1681BC1D" w14:textId="77777777" w:rsidTr="17E4B3F3">
        <w:trPr>
          <w:trHeight w:val="555"/>
        </w:trPr>
        <w:tc>
          <w:tcPr>
            <w:tcW w:w="541" w:type="pct"/>
            <w:tcBorders>
              <w:top w:val="outset" w:sz="6" w:space="0" w:color="auto"/>
              <w:left w:val="outset" w:sz="6" w:space="0" w:color="auto"/>
              <w:bottom w:val="outset" w:sz="6" w:space="0" w:color="auto"/>
              <w:right w:val="outset" w:sz="6" w:space="0" w:color="auto"/>
            </w:tcBorders>
            <w:vAlign w:val="center"/>
          </w:tcPr>
          <w:p w14:paraId="7C9CC859" w14:textId="77777777" w:rsidR="001672CB" w:rsidRPr="009F749A" w:rsidRDefault="00777272">
            <w:pPr>
              <w:rPr>
                <w:rFonts w:ascii="Source Sans Pro" w:eastAsia="Arial" w:hAnsi="Source Sans Pro" w:cs="Arial"/>
                <w:color w:val="000000"/>
                <w:sz w:val="20"/>
                <w:szCs w:val="20"/>
              </w:rPr>
            </w:pPr>
            <w:r w:rsidRPr="009F749A">
              <w:rPr>
                <w:rFonts w:ascii="Source Sans Pro" w:eastAsia="Arial" w:hAnsi="Source Sans Pro" w:cs="Arial"/>
                <w:color w:val="000000"/>
                <w:sz w:val="20"/>
                <w:szCs w:val="20"/>
              </w:rPr>
              <w:t>3</w:t>
            </w:r>
          </w:p>
        </w:tc>
        <w:tc>
          <w:tcPr>
            <w:tcW w:w="882" w:type="pct"/>
            <w:tcBorders>
              <w:top w:val="outset" w:sz="6" w:space="0" w:color="auto"/>
              <w:left w:val="outset" w:sz="6" w:space="0" w:color="auto"/>
              <w:bottom w:val="outset" w:sz="6" w:space="0" w:color="auto"/>
              <w:right w:val="outset" w:sz="6" w:space="0" w:color="auto"/>
            </w:tcBorders>
            <w:vAlign w:val="center"/>
          </w:tcPr>
          <w:p w14:paraId="25BEF6E5" w14:textId="77777777" w:rsidR="001672CB" w:rsidRPr="009F749A" w:rsidRDefault="00777272">
            <w:pPr>
              <w:rPr>
                <w:rFonts w:ascii="Source Sans Pro" w:eastAsia="Arial" w:hAnsi="Source Sans Pro" w:cs="Arial"/>
                <w:color w:val="000000"/>
                <w:sz w:val="20"/>
                <w:szCs w:val="20"/>
              </w:rPr>
            </w:pPr>
            <w:r w:rsidRPr="009F749A">
              <w:rPr>
                <w:rFonts w:ascii="Source Sans Pro" w:eastAsia="Arial" w:hAnsi="Source Sans Pro" w:cs="Arial"/>
                <w:color w:val="000000"/>
                <w:sz w:val="20"/>
                <w:szCs w:val="20"/>
              </w:rPr>
              <w:t>Academic Secretary</w:t>
            </w:r>
          </w:p>
        </w:tc>
        <w:tc>
          <w:tcPr>
            <w:tcW w:w="935" w:type="pct"/>
            <w:tcBorders>
              <w:top w:val="outset" w:sz="6" w:space="0" w:color="auto"/>
              <w:left w:val="outset" w:sz="6" w:space="0" w:color="auto"/>
              <w:bottom w:val="outset" w:sz="6" w:space="0" w:color="auto"/>
              <w:right w:val="outset" w:sz="6" w:space="0" w:color="auto"/>
            </w:tcBorders>
            <w:vAlign w:val="center"/>
          </w:tcPr>
          <w:p w14:paraId="2A126CB6" w14:textId="77777777" w:rsidR="001672CB" w:rsidRPr="009F749A" w:rsidRDefault="00777272">
            <w:pPr>
              <w:rPr>
                <w:rFonts w:ascii="Source Sans Pro" w:eastAsia="Arial" w:hAnsi="Source Sans Pro" w:cs="Arial"/>
                <w:color w:val="000000"/>
                <w:sz w:val="20"/>
                <w:szCs w:val="20"/>
              </w:rPr>
            </w:pPr>
            <w:r w:rsidRPr="009F749A">
              <w:rPr>
                <w:rFonts w:ascii="Source Sans Pro" w:eastAsia="Arial" w:hAnsi="Source Sans Pro" w:cs="Arial"/>
                <w:color w:val="000000"/>
                <w:sz w:val="20"/>
                <w:szCs w:val="20"/>
              </w:rPr>
              <w:t>6 June 2018</w:t>
            </w:r>
          </w:p>
        </w:tc>
        <w:tc>
          <w:tcPr>
            <w:tcW w:w="935" w:type="pct"/>
            <w:tcBorders>
              <w:top w:val="outset" w:sz="6" w:space="0" w:color="auto"/>
              <w:left w:val="outset" w:sz="6" w:space="0" w:color="auto"/>
              <w:bottom w:val="outset" w:sz="6" w:space="0" w:color="auto"/>
              <w:right w:val="outset" w:sz="6" w:space="0" w:color="auto"/>
            </w:tcBorders>
            <w:vAlign w:val="center"/>
          </w:tcPr>
          <w:p w14:paraId="1FE13A77" w14:textId="77777777" w:rsidR="001672CB" w:rsidRPr="009F749A" w:rsidRDefault="00777272">
            <w:pPr>
              <w:rPr>
                <w:rFonts w:ascii="Source Sans Pro" w:eastAsia="Arial" w:hAnsi="Source Sans Pro" w:cs="Arial"/>
                <w:color w:val="000000"/>
                <w:sz w:val="20"/>
                <w:szCs w:val="20"/>
              </w:rPr>
            </w:pPr>
            <w:r w:rsidRPr="009F749A">
              <w:rPr>
                <w:rFonts w:ascii="Source Sans Pro" w:eastAsia="Arial" w:hAnsi="Source Sans Pro" w:cs="Arial"/>
                <w:color w:val="000000"/>
                <w:sz w:val="20"/>
                <w:szCs w:val="20"/>
              </w:rPr>
              <w:t>6 June 2018</w:t>
            </w:r>
          </w:p>
        </w:tc>
        <w:tc>
          <w:tcPr>
            <w:tcW w:w="1707" w:type="pct"/>
            <w:tcBorders>
              <w:top w:val="outset" w:sz="6" w:space="0" w:color="auto"/>
              <w:left w:val="outset" w:sz="6" w:space="0" w:color="auto"/>
              <w:bottom w:val="outset" w:sz="6" w:space="0" w:color="auto"/>
              <w:right w:val="outset" w:sz="6" w:space="0" w:color="auto"/>
            </w:tcBorders>
            <w:vAlign w:val="center"/>
          </w:tcPr>
          <w:p w14:paraId="1E8CB17D" w14:textId="77777777" w:rsidR="001672CB" w:rsidRPr="009F749A" w:rsidRDefault="00777272">
            <w:pPr>
              <w:rPr>
                <w:rFonts w:ascii="Source Sans Pro" w:eastAsia="Arial" w:hAnsi="Source Sans Pro" w:cs="Arial"/>
                <w:color w:val="000000"/>
                <w:sz w:val="20"/>
                <w:szCs w:val="20"/>
              </w:rPr>
            </w:pPr>
            <w:r w:rsidRPr="009F749A">
              <w:rPr>
                <w:rFonts w:ascii="Source Sans Pro" w:eastAsia="Arial" w:hAnsi="Source Sans Pro" w:cs="Arial"/>
                <w:color w:val="000000"/>
                <w:sz w:val="20"/>
                <w:szCs w:val="20"/>
              </w:rPr>
              <w:t>Editorial change to update National Code in section 3. Authority</w:t>
            </w:r>
          </w:p>
        </w:tc>
      </w:tr>
      <w:tr w:rsidR="001672CB" w:rsidRPr="009F749A" w14:paraId="395411F4" w14:textId="77777777" w:rsidTr="17E4B3F3">
        <w:trPr>
          <w:trHeight w:val="270"/>
        </w:trPr>
        <w:tc>
          <w:tcPr>
            <w:tcW w:w="541" w:type="pct"/>
            <w:tcBorders>
              <w:top w:val="outset" w:sz="6" w:space="0" w:color="auto"/>
              <w:left w:val="outset" w:sz="6" w:space="0" w:color="auto"/>
              <w:bottom w:val="outset" w:sz="6" w:space="0" w:color="auto"/>
              <w:right w:val="outset" w:sz="6" w:space="0" w:color="auto"/>
            </w:tcBorders>
            <w:vAlign w:val="center"/>
          </w:tcPr>
          <w:p w14:paraId="0A1A64C1" w14:textId="77777777" w:rsidR="001672CB" w:rsidRPr="009F749A" w:rsidRDefault="00777272">
            <w:pPr>
              <w:rPr>
                <w:rFonts w:ascii="Source Sans Pro" w:eastAsia="Arial" w:hAnsi="Source Sans Pro" w:cs="Arial"/>
                <w:color w:val="000000"/>
                <w:sz w:val="20"/>
                <w:szCs w:val="20"/>
              </w:rPr>
            </w:pPr>
            <w:r w:rsidRPr="009F749A">
              <w:rPr>
                <w:rFonts w:ascii="Source Sans Pro" w:eastAsia="Arial" w:hAnsi="Source Sans Pro" w:cs="Arial"/>
                <w:color w:val="000000"/>
                <w:sz w:val="20"/>
                <w:szCs w:val="20"/>
              </w:rPr>
              <w:t>4</w:t>
            </w:r>
          </w:p>
        </w:tc>
        <w:tc>
          <w:tcPr>
            <w:tcW w:w="882" w:type="pct"/>
            <w:tcBorders>
              <w:top w:val="outset" w:sz="6" w:space="0" w:color="auto"/>
              <w:left w:val="outset" w:sz="6" w:space="0" w:color="auto"/>
              <w:bottom w:val="outset" w:sz="6" w:space="0" w:color="auto"/>
              <w:right w:val="outset" w:sz="6" w:space="0" w:color="auto"/>
            </w:tcBorders>
            <w:vAlign w:val="center"/>
          </w:tcPr>
          <w:p w14:paraId="3197E6C7" w14:textId="77777777" w:rsidR="001672CB" w:rsidRPr="009F749A" w:rsidRDefault="00777272">
            <w:pPr>
              <w:rPr>
                <w:rFonts w:ascii="Source Sans Pro" w:eastAsia="Arial" w:hAnsi="Source Sans Pro" w:cs="Arial"/>
                <w:color w:val="000000"/>
                <w:sz w:val="20"/>
                <w:szCs w:val="20"/>
              </w:rPr>
            </w:pPr>
            <w:r w:rsidRPr="009F749A">
              <w:rPr>
                <w:rFonts w:ascii="Source Sans Pro" w:eastAsia="Arial" w:hAnsi="Source Sans Pro" w:cs="Arial"/>
                <w:i/>
                <w:iCs/>
                <w:color w:val="000000"/>
                <w:sz w:val="20"/>
                <w:szCs w:val="20"/>
              </w:rPr>
              <w:t>NA</w:t>
            </w:r>
          </w:p>
        </w:tc>
        <w:tc>
          <w:tcPr>
            <w:tcW w:w="935" w:type="pct"/>
            <w:tcBorders>
              <w:top w:val="outset" w:sz="6" w:space="0" w:color="auto"/>
              <w:left w:val="outset" w:sz="6" w:space="0" w:color="auto"/>
              <w:bottom w:val="outset" w:sz="6" w:space="0" w:color="auto"/>
              <w:right w:val="outset" w:sz="6" w:space="0" w:color="auto"/>
            </w:tcBorders>
            <w:vAlign w:val="center"/>
          </w:tcPr>
          <w:p w14:paraId="2B7D2FA5" w14:textId="77777777" w:rsidR="001672CB" w:rsidRPr="009F749A" w:rsidRDefault="00777272">
            <w:pPr>
              <w:rPr>
                <w:rFonts w:ascii="Source Sans Pro" w:eastAsia="Arial" w:hAnsi="Source Sans Pro" w:cs="Arial"/>
                <w:color w:val="000000"/>
                <w:sz w:val="20"/>
                <w:szCs w:val="20"/>
              </w:rPr>
            </w:pPr>
            <w:r w:rsidRPr="009F749A">
              <w:rPr>
                <w:rFonts w:ascii="Source Sans Pro" w:eastAsia="Arial" w:hAnsi="Source Sans Pro" w:cs="Arial"/>
                <w:color w:val="000000"/>
                <w:sz w:val="20"/>
                <w:szCs w:val="20"/>
              </w:rPr>
              <w:t> </w:t>
            </w:r>
          </w:p>
        </w:tc>
        <w:tc>
          <w:tcPr>
            <w:tcW w:w="935" w:type="pct"/>
            <w:tcBorders>
              <w:top w:val="outset" w:sz="6" w:space="0" w:color="auto"/>
              <w:left w:val="outset" w:sz="6" w:space="0" w:color="auto"/>
              <w:bottom w:val="outset" w:sz="6" w:space="0" w:color="auto"/>
              <w:right w:val="outset" w:sz="6" w:space="0" w:color="auto"/>
            </w:tcBorders>
            <w:vAlign w:val="center"/>
          </w:tcPr>
          <w:p w14:paraId="7C998E20" w14:textId="77777777" w:rsidR="001672CB" w:rsidRPr="009F749A" w:rsidRDefault="00777272">
            <w:pPr>
              <w:rPr>
                <w:rFonts w:ascii="Source Sans Pro" w:eastAsia="Arial" w:hAnsi="Source Sans Pro" w:cs="Arial"/>
                <w:color w:val="000000"/>
                <w:sz w:val="20"/>
                <w:szCs w:val="20"/>
              </w:rPr>
            </w:pPr>
            <w:r w:rsidRPr="009F749A">
              <w:rPr>
                <w:rFonts w:ascii="Source Sans Pro" w:eastAsia="Arial" w:hAnsi="Source Sans Pro" w:cs="Arial"/>
                <w:color w:val="000000"/>
                <w:sz w:val="20"/>
                <w:szCs w:val="20"/>
              </w:rPr>
              <w:t> </w:t>
            </w:r>
          </w:p>
        </w:tc>
        <w:tc>
          <w:tcPr>
            <w:tcW w:w="1707" w:type="pct"/>
            <w:tcBorders>
              <w:top w:val="outset" w:sz="6" w:space="0" w:color="auto"/>
              <w:left w:val="outset" w:sz="6" w:space="0" w:color="auto"/>
              <w:bottom w:val="outset" w:sz="6" w:space="0" w:color="auto"/>
              <w:right w:val="outset" w:sz="6" w:space="0" w:color="auto"/>
            </w:tcBorders>
            <w:vAlign w:val="center"/>
          </w:tcPr>
          <w:p w14:paraId="29EE62E1" w14:textId="77777777" w:rsidR="001672CB" w:rsidRPr="009F749A" w:rsidRDefault="00777272">
            <w:pPr>
              <w:rPr>
                <w:rFonts w:ascii="Source Sans Pro" w:eastAsia="Arial" w:hAnsi="Source Sans Pro" w:cs="Arial"/>
                <w:color w:val="000000"/>
                <w:sz w:val="20"/>
                <w:szCs w:val="20"/>
              </w:rPr>
            </w:pPr>
            <w:r w:rsidRPr="009F749A">
              <w:rPr>
                <w:rFonts w:ascii="Source Sans Pro" w:eastAsia="Arial" w:hAnsi="Source Sans Pro" w:cs="Arial"/>
                <w:i/>
                <w:iCs/>
                <w:color w:val="000000"/>
                <w:sz w:val="20"/>
                <w:szCs w:val="20"/>
              </w:rPr>
              <w:t>Created in error </w:t>
            </w:r>
          </w:p>
        </w:tc>
      </w:tr>
      <w:tr w:rsidR="001672CB" w:rsidRPr="009F749A" w14:paraId="4E9ED4E0" w14:textId="77777777" w:rsidTr="17E4B3F3">
        <w:trPr>
          <w:trHeight w:val="270"/>
        </w:trPr>
        <w:tc>
          <w:tcPr>
            <w:tcW w:w="541" w:type="pct"/>
            <w:tcBorders>
              <w:top w:val="outset" w:sz="6" w:space="0" w:color="auto"/>
              <w:left w:val="outset" w:sz="6" w:space="0" w:color="auto"/>
              <w:bottom w:val="outset" w:sz="6" w:space="0" w:color="auto"/>
              <w:right w:val="outset" w:sz="6" w:space="0" w:color="auto"/>
            </w:tcBorders>
            <w:vAlign w:val="center"/>
          </w:tcPr>
          <w:p w14:paraId="69418AAA" w14:textId="77777777" w:rsidR="001672CB" w:rsidRPr="009F749A" w:rsidRDefault="00777272">
            <w:pPr>
              <w:rPr>
                <w:rFonts w:ascii="Source Sans Pro" w:eastAsia="Arial" w:hAnsi="Source Sans Pro" w:cs="Arial"/>
                <w:color w:val="000000"/>
                <w:sz w:val="20"/>
                <w:szCs w:val="20"/>
              </w:rPr>
            </w:pPr>
            <w:r w:rsidRPr="009F749A">
              <w:rPr>
                <w:rFonts w:ascii="Source Sans Pro" w:eastAsia="Arial" w:hAnsi="Source Sans Pro" w:cs="Arial"/>
                <w:color w:val="000000"/>
                <w:sz w:val="20"/>
                <w:szCs w:val="20"/>
              </w:rPr>
              <w:t>5 </w:t>
            </w:r>
          </w:p>
        </w:tc>
        <w:tc>
          <w:tcPr>
            <w:tcW w:w="882" w:type="pct"/>
            <w:tcBorders>
              <w:top w:val="outset" w:sz="6" w:space="0" w:color="auto"/>
              <w:left w:val="outset" w:sz="6" w:space="0" w:color="auto"/>
              <w:bottom w:val="outset" w:sz="6" w:space="0" w:color="auto"/>
              <w:right w:val="outset" w:sz="6" w:space="0" w:color="auto"/>
            </w:tcBorders>
            <w:vAlign w:val="center"/>
          </w:tcPr>
          <w:p w14:paraId="12719179" w14:textId="77777777" w:rsidR="001672CB" w:rsidRPr="009F749A" w:rsidRDefault="00777272">
            <w:pPr>
              <w:rPr>
                <w:rFonts w:ascii="Source Sans Pro" w:eastAsia="Arial" w:hAnsi="Source Sans Pro" w:cs="Arial"/>
                <w:color w:val="000000"/>
                <w:sz w:val="20"/>
                <w:szCs w:val="20"/>
              </w:rPr>
            </w:pPr>
            <w:r w:rsidRPr="009F749A">
              <w:rPr>
                <w:rFonts w:ascii="Source Sans Pro" w:eastAsia="Arial" w:hAnsi="Source Sans Pro" w:cs="Arial"/>
                <w:color w:val="000000"/>
                <w:sz w:val="20"/>
                <w:szCs w:val="20"/>
              </w:rPr>
              <w:t>Policy Officer</w:t>
            </w:r>
          </w:p>
        </w:tc>
        <w:tc>
          <w:tcPr>
            <w:tcW w:w="935" w:type="pct"/>
            <w:tcBorders>
              <w:top w:val="outset" w:sz="6" w:space="0" w:color="auto"/>
              <w:left w:val="outset" w:sz="6" w:space="0" w:color="auto"/>
              <w:bottom w:val="outset" w:sz="6" w:space="0" w:color="auto"/>
              <w:right w:val="outset" w:sz="6" w:space="0" w:color="auto"/>
            </w:tcBorders>
            <w:vAlign w:val="center"/>
          </w:tcPr>
          <w:p w14:paraId="29E69025" w14:textId="77777777" w:rsidR="001672CB" w:rsidRPr="009F749A" w:rsidRDefault="00777272">
            <w:pPr>
              <w:rPr>
                <w:rFonts w:ascii="Source Sans Pro" w:eastAsia="Arial" w:hAnsi="Source Sans Pro" w:cs="Arial"/>
                <w:color w:val="000000"/>
                <w:sz w:val="20"/>
                <w:szCs w:val="20"/>
              </w:rPr>
            </w:pPr>
            <w:r w:rsidRPr="009F749A">
              <w:rPr>
                <w:rFonts w:ascii="Source Sans Pro" w:eastAsia="Arial" w:hAnsi="Source Sans Pro" w:cs="Arial"/>
                <w:color w:val="000000"/>
                <w:sz w:val="20"/>
                <w:szCs w:val="20"/>
              </w:rPr>
              <w:t>6 June 2018</w:t>
            </w:r>
          </w:p>
        </w:tc>
        <w:tc>
          <w:tcPr>
            <w:tcW w:w="935" w:type="pct"/>
            <w:tcBorders>
              <w:top w:val="outset" w:sz="6" w:space="0" w:color="auto"/>
              <w:left w:val="outset" w:sz="6" w:space="0" w:color="auto"/>
              <w:bottom w:val="outset" w:sz="6" w:space="0" w:color="auto"/>
              <w:right w:val="outset" w:sz="6" w:space="0" w:color="auto"/>
            </w:tcBorders>
            <w:vAlign w:val="center"/>
          </w:tcPr>
          <w:p w14:paraId="0D34B655" w14:textId="77777777" w:rsidR="001672CB" w:rsidRPr="009F749A" w:rsidRDefault="00777272">
            <w:pPr>
              <w:rPr>
                <w:rFonts w:ascii="Source Sans Pro" w:eastAsia="Arial" w:hAnsi="Source Sans Pro" w:cs="Arial"/>
                <w:color w:val="000000"/>
                <w:sz w:val="20"/>
                <w:szCs w:val="20"/>
              </w:rPr>
            </w:pPr>
            <w:r w:rsidRPr="009F749A">
              <w:rPr>
                <w:rFonts w:ascii="Source Sans Pro" w:eastAsia="Arial" w:hAnsi="Source Sans Pro" w:cs="Arial"/>
                <w:color w:val="000000"/>
                <w:sz w:val="20"/>
                <w:szCs w:val="20"/>
              </w:rPr>
              <w:t>21 June 2018</w:t>
            </w:r>
          </w:p>
        </w:tc>
        <w:tc>
          <w:tcPr>
            <w:tcW w:w="1707" w:type="pct"/>
            <w:tcBorders>
              <w:top w:val="outset" w:sz="6" w:space="0" w:color="auto"/>
              <w:left w:val="outset" w:sz="6" w:space="0" w:color="auto"/>
              <w:bottom w:val="outset" w:sz="6" w:space="0" w:color="auto"/>
              <w:right w:val="outset" w:sz="6" w:space="0" w:color="auto"/>
            </w:tcBorders>
            <w:vAlign w:val="center"/>
          </w:tcPr>
          <w:p w14:paraId="3A439B05" w14:textId="77777777" w:rsidR="001672CB" w:rsidRPr="009F749A" w:rsidRDefault="00777272">
            <w:pPr>
              <w:rPr>
                <w:rFonts w:ascii="Source Sans Pro" w:eastAsia="Arial" w:hAnsi="Source Sans Pro" w:cs="Arial"/>
                <w:color w:val="000000"/>
                <w:sz w:val="20"/>
                <w:szCs w:val="20"/>
              </w:rPr>
            </w:pPr>
            <w:r w:rsidRPr="009F749A">
              <w:rPr>
                <w:rFonts w:ascii="Source Sans Pro" w:eastAsia="Arial" w:hAnsi="Source Sans Pro" w:cs="Arial"/>
                <w:color w:val="000000"/>
                <w:sz w:val="20"/>
                <w:szCs w:val="20"/>
              </w:rPr>
              <w:t>Fixed minor errors to document information</w:t>
            </w:r>
          </w:p>
        </w:tc>
      </w:tr>
      <w:tr w:rsidR="001672CB" w:rsidRPr="009F749A" w14:paraId="484217E0" w14:textId="77777777" w:rsidTr="17E4B3F3">
        <w:trPr>
          <w:trHeight w:val="270"/>
        </w:trPr>
        <w:tc>
          <w:tcPr>
            <w:tcW w:w="541" w:type="pct"/>
            <w:tcBorders>
              <w:top w:val="outset" w:sz="6" w:space="0" w:color="auto"/>
              <w:left w:val="outset" w:sz="6" w:space="0" w:color="auto"/>
              <w:bottom w:val="outset" w:sz="6" w:space="0" w:color="auto"/>
              <w:right w:val="outset" w:sz="6" w:space="0" w:color="auto"/>
            </w:tcBorders>
            <w:vAlign w:val="center"/>
          </w:tcPr>
          <w:p w14:paraId="3E5968D8" w14:textId="77777777" w:rsidR="001672CB" w:rsidRPr="009F749A" w:rsidRDefault="00777272">
            <w:pPr>
              <w:rPr>
                <w:rFonts w:ascii="Source Sans Pro" w:eastAsia="Arial" w:hAnsi="Source Sans Pro" w:cs="Arial"/>
                <w:color w:val="000000"/>
                <w:sz w:val="20"/>
                <w:szCs w:val="20"/>
              </w:rPr>
            </w:pPr>
            <w:r w:rsidRPr="009F749A">
              <w:rPr>
                <w:rFonts w:ascii="Source Sans Pro" w:eastAsia="Arial" w:hAnsi="Source Sans Pro" w:cs="Arial"/>
                <w:color w:val="000000"/>
                <w:sz w:val="20"/>
                <w:szCs w:val="20"/>
              </w:rPr>
              <w:t>6</w:t>
            </w:r>
          </w:p>
        </w:tc>
        <w:tc>
          <w:tcPr>
            <w:tcW w:w="882" w:type="pct"/>
            <w:tcBorders>
              <w:top w:val="outset" w:sz="6" w:space="0" w:color="auto"/>
              <w:left w:val="outset" w:sz="6" w:space="0" w:color="auto"/>
              <w:bottom w:val="outset" w:sz="6" w:space="0" w:color="auto"/>
              <w:right w:val="outset" w:sz="6" w:space="0" w:color="auto"/>
            </w:tcBorders>
            <w:vAlign w:val="center"/>
          </w:tcPr>
          <w:p w14:paraId="07180DA6" w14:textId="77777777" w:rsidR="001672CB" w:rsidRPr="009F749A" w:rsidRDefault="00777272">
            <w:pPr>
              <w:rPr>
                <w:rFonts w:ascii="Source Sans Pro" w:eastAsia="Arial" w:hAnsi="Source Sans Pro" w:cs="Arial"/>
                <w:color w:val="000000"/>
                <w:sz w:val="20"/>
                <w:szCs w:val="20"/>
              </w:rPr>
            </w:pPr>
            <w:r w:rsidRPr="009F749A">
              <w:rPr>
                <w:rFonts w:ascii="Source Sans Pro" w:eastAsia="Arial" w:hAnsi="Source Sans Pro" w:cs="Arial"/>
                <w:color w:val="000000"/>
                <w:sz w:val="20"/>
                <w:szCs w:val="20"/>
              </w:rPr>
              <w:t>Academic Secretary</w:t>
            </w:r>
          </w:p>
        </w:tc>
        <w:tc>
          <w:tcPr>
            <w:tcW w:w="935" w:type="pct"/>
            <w:tcBorders>
              <w:top w:val="outset" w:sz="6" w:space="0" w:color="auto"/>
              <w:left w:val="outset" w:sz="6" w:space="0" w:color="auto"/>
              <w:bottom w:val="outset" w:sz="6" w:space="0" w:color="auto"/>
              <w:right w:val="outset" w:sz="6" w:space="0" w:color="auto"/>
            </w:tcBorders>
            <w:vAlign w:val="center"/>
          </w:tcPr>
          <w:p w14:paraId="40D0515A" w14:textId="77777777" w:rsidR="001672CB" w:rsidRPr="009F749A" w:rsidRDefault="00777272">
            <w:pPr>
              <w:rPr>
                <w:rFonts w:ascii="Source Sans Pro" w:eastAsia="Arial" w:hAnsi="Source Sans Pro" w:cs="Arial"/>
                <w:color w:val="000000"/>
                <w:sz w:val="20"/>
                <w:szCs w:val="20"/>
              </w:rPr>
            </w:pPr>
            <w:r w:rsidRPr="009F749A">
              <w:rPr>
                <w:rFonts w:ascii="Source Sans Pro" w:eastAsia="Arial" w:hAnsi="Source Sans Pro" w:cs="Arial"/>
                <w:color w:val="000000"/>
                <w:sz w:val="20"/>
                <w:szCs w:val="20"/>
              </w:rPr>
              <w:t>3 May 2019</w:t>
            </w:r>
          </w:p>
        </w:tc>
        <w:tc>
          <w:tcPr>
            <w:tcW w:w="935" w:type="pct"/>
            <w:tcBorders>
              <w:top w:val="outset" w:sz="6" w:space="0" w:color="auto"/>
              <w:left w:val="outset" w:sz="6" w:space="0" w:color="auto"/>
              <w:bottom w:val="outset" w:sz="6" w:space="0" w:color="auto"/>
              <w:right w:val="outset" w:sz="6" w:space="0" w:color="auto"/>
            </w:tcBorders>
            <w:vAlign w:val="center"/>
          </w:tcPr>
          <w:p w14:paraId="12CDBE71" w14:textId="77777777" w:rsidR="001672CB" w:rsidRPr="009F749A" w:rsidRDefault="00777272">
            <w:pPr>
              <w:rPr>
                <w:rFonts w:ascii="Source Sans Pro" w:eastAsia="Arial" w:hAnsi="Source Sans Pro" w:cs="Arial"/>
                <w:color w:val="000000"/>
                <w:sz w:val="20"/>
                <w:szCs w:val="20"/>
              </w:rPr>
            </w:pPr>
            <w:r w:rsidRPr="009F749A">
              <w:rPr>
                <w:rFonts w:ascii="Source Sans Pro" w:eastAsia="Arial" w:hAnsi="Source Sans Pro" w:cs="Arial"/>
                <w:color w:val="000000"/>
                <w:sz w:val="20"/>
                <w:szCs w:val="20"/>
              </w:rPr>
              <w:t>3 May 2019</w:t>
            </w:r>
          </w:p>
        </w:tc>
        <w:tc>
          <w:tcPr>
            <w:tcW w:w="1707" w:type="pct"/>
            <w:tcBorders>
              <w:top w:val="outset" w:sz="6" w:space="0" w:color="auto"/>
              <w:left w:val="outset" w:sz="6" w:space="0" w:color="auto"/>
              <w:bottom w:val="outset" w:sz="6" w:space="0" w:color="auto"/>
              <w:right w:val="outset" w:sz="6" w:space="0" w:color="auto"/>
            </w:tcBorders>
            <w:vAlign w:val="center"/>
          </w:tcPr>
          <w:p w14:paraId="7A0FB93B" w14:textId="77777777" w:rsidR="001672CB" w:rsidRPr="009F749A" w:rsidRDefault="00777272">
            <w:pPr>
              <w:rPr>
                <w:rFonts w:ascii="Source Sans Pro" w:eastAsia="Arial" w:hAnsi="Source Sans Pro" w:cs="Arial"/>
                <w:color w:val="000000"/>
                <w:sz w:val="20"/>
                <w:szCs w:val="20"/>
              </w:rPr>
            </w:pPr>
            <w:r w:rsidRPr="009F749A">
              <w:rPr>
                <w:rFonts w:ascii="Source Sans Pro" w:eastAsia="Arial" w:hAnsi="Source Sans Pro" w:cs="Arial"/>
                <w:color w:val="000000"/>
                <w:sz w:val="20"/>
                <w:szCs w:val="20"/>
              </w:rPr>
              <w:t>Editorial amendment to 4.11</w:t>
            </w:r>
          </w:p>
        </w:tc>
      </w:tr>
      <w:tr w:rsidR="001672CB" w:rsidRPr="009F749A" w14:paraId="3FC88E3D" w14:textId="77777777" w:rsidTr="17E4B3F3">
        <w:trPr>
          <w:trHeight w:val="555"/>
        </w:trPr>
        <w:tc>
          <w:tcPr>
            <w:tcW w:w="541" w:type="pct"/>
            <w:tcBorders>
              <w:top w:val="outset" w:sz="6" w:space="0" w:color="auto"/>
              <w:left w:val="outset" w:sz="6" w:space="0" w:color="auto"/>
              <w:bottom w:val="outset" w:sz="6" w:space="0" w:color="auto"/>
              <w:right w:val="outset" w:sz="6" w:space="0" w:color="auto"/>
            </w:tcBorders>
            <w:vAlign w:val="center"/>
          </w:tcPr>
          <w:p w14:paraId="2A9AC790" w14:textId="77777777" w:rsidR="001672CB" w:rsidRPr="009F749A" w:rsidRDefault="00777272">
            <w:pPr>
              <w:rPr>
                <w:rFonts w:ascii="Source Sans Pro" w:eastAsia="Arial" w:hAnsi="Source Sans Pro" w:cs="Arial"/>
                <w:color w:val="000000"/>
                <w:sz w:val="20"/>
                <w:szCs w:val="20"/>
              </w:rPr>
            </w:pPr>
            <w:r w:rsidRPr="009F749A">
              <w:rPr>
                <w:rFonts w:ascii="Source Sans Pro" w:eastAsia="Arial" w:hAnsi="Source Sans Pro" w:cs="Arial"/>
                <w:color w:val="000000"/>
                <w:sz w:val="20"/>
                <w:szCs w:val="20"/>
              </w:rPr>
              <w:t>7</w:t>
            </w:r>
          </w:p>
        </w:tc>
        <w:tc>
          <w:tcPr>
            <w:tcW w:w="882" w:type="pct"/>
            <w:tcBorders>
              <w:top w:val="outset" w:sz="6" w:space="0" w:color="auto"/>
              <w:left w:val="outset" w:sz="6" w:space="0" w:color="auto"/>
              <w:bottom w:val="outset" w:sz="6" w:space="0" w:color="auto"/>
              <w:right w:val="outset" w:sz="6" w:space="0" w:color="auto"/>
            </w:tcBorders>
            <w:vAlign w:val="center"/>
          </w:tcPr>
          <w:p w14:paraId="0EE6BB54" w14:textId="77777777" w:rsidR="001672CB" w:rsidRPr="009F749A" w:rsidRDefault="00777272">
            <w:pPr>
              <w:rPr>
                <w:rFonts w:ascii="Source Sans Pro" w:eastAsia="Arial" w:hAnsi="Source Sans Pro" w:cs="Arial"/>
                <w:color w:val="000000"/>
                <w:sz w:val="20"/>
                <w:szCs w:val="20"/>
              </w:rPr>
            </w:pPr>
            <w:r w:rsidRPr="009F749A">
              <w:rPr>
                <w:rFonts w:ascii="Source Sans Pro" w:eastAsia="Arial" w:hAnsi="Source Sans Pro" w:cs="Arial"/>
                <w:color w:val="000000"/>
                <w:sz w:val="20"/>
                <w:szCs w:val="20"/>
              </w:rPr>
              <w:t>Academic Secretary</w:t>
            </w:r>
          </w:p>
        </w:tc>
        <w:tc>
          <w:tcPr>
            <w:tcW w:w="935" w:type="pct"/>
            <w:tcBorders>
              <w:top w:val="outset" w:sz="6" w:space="0" w:color="auto"/>
              <w:left w:val="outset" w:sz="6" w:space="0" w:color="auto"/>
              <w:bottom w:val="outset" w:sz="6" w:space="0" w:color="auto"/>
              <w:right w:val="outset" w:sz="6" w:space="0" w:color="auto"/>
            </w:tcBorders>
            <w:vAlign w:val="center"/>
          </w:tcPr>
          <w:p w14:paraId="44AD3B17" w14:textId="77777777" w:rsidR="001672CB" w:rsidRPr="009F749A" w:rsidRDefault="00777272">
            <w:pPr>
              <w:rPr>
                <w:rFonts w:ascii="Source Sans Pro" w:eastAsia="Arial" w:hAnsi="Source Sans Pro" w:cs="Arial"/>
                <w:color w:val="000000"/>
                <w:sz w:val="20"/>
                <w:szCs w:val="20"/>
              </w:rPr>
            </w:pPr>
            <w:r w:rsidRPr="009F749A">
              <w:rPr>
                <w:rFonts w:ascii="Source Sans Pro" w:eastAsia="Arial" w:hAnsi="Source Sans Pro" w:cs="Arial"/>
                <w:color w:val="000000"/>
                <w:sz w:val="20"/>
                <w:szCs w:val="20"/>
              </w:rPr>
              <w:t>11 September 2019</w:t>
            </w:r>
          </w:p>
        </w:tc>
        <w:tc>
          <w:tcPr>
            <w:tcW w:w="935" w:type="pct"/>
            <w:tcBorders>
              <w:top w:val="outset" w:sz="6" w:space="0" w:color="auto"/>
              <w:left w:val="outset" w:sz="6" w:space="0" w:color="auto"/>
              <w:bottom w:val="outset" w:sz="6" w:space="0" w:color="auto"/>
              <w:right w:val="outset" w:sz="6" w:space="0" w:color="auto"/>
            </w:tcBorders>
            <w:vAlign w:val="center"/>
          </w:tcPr>
          <w:p w14:paraId="44C0B653" w14:textId="77777777" w:rsidR="001672CB" w:rsidRPr="009F749A" w:rsidRDefault="00777272">
            <w:pPr>
              <w:rPr>
                <w:rFonts w:ascii="Source Sans Pro" w:eastAsia="Arial" w:hAnsi="Source Sans Pro" w:cs="Arial"/>
                <w:color w:val="000000"/>
                <w:sz w:val="20"/>
                <w:szCs w:val="20"/>
              </w:rPr>
            </w:pPr>
            <w:r w:rsidRPr="009F749A">
              <w:rPr>
                <w:rFonts w:ascii="Source Sans Pro" w:eastAsia="Arial" w:hAnsi="Source Sans Pro" w:cs="Arial"/>
                <w:color w:val="000000"/>
                <w:sz w:val="20"/>
                <w:szCs w:val="20"/>
              </w:rPr>
              <w:t>13 September 2019</w:t>
            </w:r>
          </w:p>
        </w:tc>
        <w:tc>
          <w:tcPr>
            <w:tcW w:w="1707" w:type="pct"/>
            <w:tcBorders>
              <w:top w:val="outset" w:sz="6" w:space="0" w:color="auto"/>
              <w:left w:val="outset" w:sz="6" w:space="0" w:color="auto"/>
              <w:bottom w:val="outset" w:sz="6" w:space="0" w:color="auto"/>
              <w:right w:val="outset" w:sz="6" w:space="0" w:color="auto"/>
            </w:tcBorders>
            <w:vAlign w:val="center"/>
          </w:tcPr>
          <w:p w14:paraId="301F673E" w14:textId="77777777" w:rsidR="001672CB" w:rsidRPr="009F749A" w:rsidRDefault="00777272">
            <w:pPr>
              <w:rPr>
                <w:rFonts w:ascii="Source Sans Pro" w:eastAsia="Arial" w:hAnsi="Source Sans Pro" w:cs="Arial"/>
                <w:color w:val="000000"/>
                <w:sz w:val="20"/>
                <w:szCs w:val="20"/>
              </w:rPr>
            </w:pPr>
            <w:r w:rsidRPr="009F749A">
              <w:rPr>
                <w:rFonts w:ascii="Source Sans Pro" w:eastAsia="Arial" w:hAnsi="Source Sans Pro" w:cs="Arial"/>
                <w:color w:val="000000"/>
                <w:sz w:val="20"/>
                <w:szCs w:val="20"/>
              </w:rPr>
              <w:t>Editorial changes removing gendered pronouns 4.12, 4.14, 4.15</w:t>
            </w:r>
          </w:p>
        </w:tc>
      </w:tr>
      <w:tr w:rsidR="001672CB" w:rsidRPr="009F749A" w14:paraId="3BFE5603" w14:textId="77777777" w:rsidTr="17E4B3F3">
        <w:trPr>
          <w:trHeight w:val="270"/>
        </w:trPr>
        <w:tc>
          <w:tcPr>
            <w:tcW w:w="541" w:type="pct"/>
            <w:tcBorders>
              <w:top w:val="outset" w:sz="6" w:space="0" w:color="auto"/>
              <w:left w:val="outset" w:sz="6" w:space="0" w:color="auto"/>
              <w:bottom w:val="outset" w:sz="6" w:space="0" w:color="auto"/>
              <w:right w:val="outset" w:sz="6" w:space="0" w:color="auto"/>
            </w:tcBorders>
            <w:vAlign w:val="center"/>
          </w:tcPr>
          <w:p w14:paraId="0C059666" w14:textId="77777777" w:rsidR="001672CB" w:rsidRPr="009F749A" w:rsidRDefault="00777272">
            <w:pPr>
              <w:rPr>
                <w:rFonts w:ascii="Source Sans Pro" w:eastAsia="Arial" w:hAnsi="Source Sans Pro" w:cs="Arial"/>
                <w:color w:val="000000"/>
                <w:sz w:val="20"/>
                <w:szCs w:val="20"/>
              </w:rPr>
            </w:pPr>
            <w:r w:rsidRPr="009F749A">
              <w:rPr>
                <w:rFonts w:ascii="Source Sans Pro" w:eastAsia="Arial" w:hAnsi="Source Sans Pro" w:cs="Arial"/>
                <w:color w:val="000000"/>
                <w:sz w:val="20"/>
                <w:szCs w:val="20"/>
              </w:rPr>
              <w:t>8</w:t>
            </w:r>
          </w:p>
        </w:tc>
        <w:tc>
          <w:tcPr>
            <w:tcW w:w="882" w:type="pct"/>
            <w:tcBorders>
              <w:top w:val="outset" w:sz="6" w:space="0" w:color="auto"/>
              <w:left w:val="outset" w:sz="6" w:space="0" w:color="auto"/>
              <w:bottom w:val="outset" w:sz="6" w:space="0" w:color="auto"/>
              <w:right w:val="outset" w:sz="6" w:space="0" w:color="auto"/>
            </w:tcBorders>
            <w:vAlign w:val="center"/>
          </w:tcPr>
          <w:p w14:paraId="4D679188" w14:textId="77777777" w:rsidR="001672CB" w:rsidRPr="009F749A" w:rsidRDefault="00777272">
            <w:pPr>
              <w:rPr>
                <w:rFonts w:ascii="Source Sans Pro" w:eastAsia="Arial" w:hAnsi="Source Sans Pro" w:cs="Arial"/>
                <w:color w:val="000000"/>
                <w:sz w:val="20"/>
                <w:szCs w:val="20"/>
              </w:rPr>
            </w:pPr>
            <w:r w:rsidRPr="009F749A">
              <w:rPr>
                <w:rFonts w:ascii="Source Sans Pro" w:eastAsia="Arial" w:hAnsi="Source Sans Pro" w:cs="Arial"/>
                <w:color w:val="000000"/>
                <w:sz w:val="20"/>
                <w:szCs w:val="20"/>
              </w:rPr>
              <w:t>Academic Secretary</w:t>
            </w:r>
          </w:p>
        </w:tc>
        <w:tc>
          <w:tcPr>
            <w:tcW w:w="935" w:type="pct"/>
            <w:tcBorders>
              <w:top w:val="outset" w:sz="6" w:space="0" w:color="auto"/>
              <w:left w:val="outset" w:sz="6" w:space="0" w:color="auto"/>
              <w:bottom w:val="outset" w:sz="6" w:space="0" w:color="auto"/>
              <w:right w:val="outset" w:sz="6" w:space="0" w:color="auto"/>
            </w:tcBorders>
            <w:vAlign w:val="center"/>
          </w:tcPr>
          <w:p w14:paraId="1946FD61" w14:textId="77777777" w:rsidR="001672CB" w:rsidRPr="009F749A" w:rsidRDefault="00777272">
            <w:pPr>
              <w:rPr>
                <w:rFonts w:ascii="Source Sans Pro" w:eastAsia="Arial" w:hAnsi="Source Sans Pro" w:cs="Arial"/>
                <w:color w:val="000000"/>
                <w:sz w:val="20"/>
                <w:szCs w:val="20"/>
              </w:rPr>
            </w:pPr>
            <w:r w:rsidRPr="009F749A">
              <w:rPr>
                <w:rFonts w:ascii="Source Sans Pro" w:eastAsia="Arial" w:hAnsi="Source Sans Pro" w:cs="Arial"/>
                <w:color w:val="000000"/>
                <w:sz w:val="20"/>
                <w:szCs w:val="20"/>
              </w:rPr>
              <w:t>3 December 2019</w:t>
            </w:r>
          </w:p>
        </w:tc>
        <w:tc>
          <w:tcPr>
            <w:tcW w:w="935" w:type="pct"/>
            <w:tcBorders>
              <w:top w:val="outset" w:sz="6" w:space="0" w:color="auto"/>
              <w:left w:val="outset" w:sz="6" w:space="0" w:color="auto"/>
              <w:bottom w:val="outset" w:sz="6" w:space="0" w:color="auto"/>
              <w:right w:val="outset" w:sz="6" w:space="0" w:color="auto"/>
            </w:tcBorders>
            <w:vAlign w:val="center"/>
          </w:tcPr>
          <w:p w14:paraId="53732616" w14:textId="77777777" w:rsidR="001672CB" w:rsidRPr="009F749A" w:rsidRDefault="00777272">
            <w:pPr>
              <w:rPr>
                <w:rFonts w:ascii="Source Sans Pro" w:eastAsia="Arial" w:hAnsi="Source Sans Pro" w:cs="Arial"/>
                <w:color w:val="000000"/>
                <w:sz w:val="20"/>
                <w:szCs w:val="20"/>
              </w:rPr>
            </w:pPr>
            <w:r w:rsidRPr="009F749A">
              <w:rPr>
                <w:rFonts w:ascii="Source Sans Pro" w:eastAsia="Arial" w:hAnsi="Source Sans Pro" w:cs="Arial"/>
                <w:color w:val="000000"/>
                <w:sz w:val="20"/>
                <w:szCs w:val="20"/>
              </w:rPr>
              <w:t>4 December 2019</w:t>
            </w:r>
          </w:p>
        </w:tc>
        <w:tc>
          <w:tcPr>
            <w:tcW w:w="1707" w:type="pct"/>
            <w:tcBorders>
              <w:top w:val="outset" w:sz="6" w:space="0" w:color="auto"/>
              <w:left w:val="outset" w:sz="6" w:space="0" w:color="auto"/>
              <w:bottom w:val="outset" w:sz="6" w:space="0" w:color="auto"/>
              <w:right w:val="outset" w:sz="6" w:space="0" w:color="auto"/>
            </w:tcBorders>
            <w:vAlign w:val="center"/>
          </w:tcPr>
          <w:p w14:paraId="03890E82" w14:textId="77777777" w:rsidR="001672CB" w:rsidRPr="009F749A" w:rsidRDefault="00777272">
            <w:pPr>
              <w:rPr>
                <w:rFonts w:ascii="Source Sans Pro" w:eastAsia="Arial" w:hAnsi="Source Sans Pro" w:cs="Arial"/>
                <w:color w:val="000000"/>
                <w:sz w:val="20"/>
                <w:szCs w:val="20"/>
              </w:rPr>
            </w:pPr>
            <w:r w:rsidRPr="009F749A">
              <w:rPr>
                <w:rFonts w:ascii="Source Sans Pro" w:eastAsia="Arial" w:hAnsi="Source Sans Pro" w:cs="Arial"/>
                <w:color w:val="000000"/>
                <w:sz w:val="20"/>
                <w:szCs w:val="20"/>
              </w:rPr>
              <w:t>Editorial amendment to 4.16</w:t>
            </w:r>
          </w:p>
        </w:tc>
      </w:tr>
      <w:tr w:rsidR="001672CB" w:rsidRPr="009F749A" w14:paraId="3EFDCB65" w14:textId="77777777" w:rsidTr="17E4B3F3">
        <w:trPr>
          <w:trHeight w:val="1110"/>
        </w:trPr>
        <w:tc>
          <w:tcPr>
            <w:tcW w:w="541" w:type="pct"/>
            <w:tcBorders>
              <w:top w:val="outset" w:sz="6" w:space="0" w:color="auto"/>
              <w:left w:val="outset" w:sz="6" w:space="0" w:color="auto"/>
              <w:bottom w:val="outset" w:sz="6" w:space="0" w:color="auto"/>
              <w:right w:val="outset" w:sz="6" w:space="0" w:color="auto"/>
            </w:tcBorders>
            <w:vAlign w:val="center"/>
          </w:tcPr>
          <w:p w14:paraId="27368131" w14:textId="77777777" w:rsidR="001672CB" w:rsidRPr="009F749A" w:rsidRDefault="00777272">
            <w:pPr>
              <w:rPr>
                <w:rFonts w:ascii="Source Sans Pro" w:eastAsia="Arial" w:hAnsi="Source Sans Pro" w:cs="Arial"/>
                <w:color w:val="000000"/>
                <w:sz w:val="20"/>
                <w:szCs w:val="20"/>
              </w:rPr>
            </w:pPr>
            <w:r w:rsidRPr="009F749A">
              <w:rPr>
                <w:rFonts w:ascii="Source Sans Pro" w:eastAsia="Arial" w:hAnsi="Source Sans Pro" w:cs="Arial"/>
                <w:color w:val="000000"/>
                <w:sz w:val="20"/>
                <w:szCs w:val="20"/>
              </w:rPr>
              <w:t>9</w:t>
            </w:r>
          </w:p>
        </w:tc>
        <w:tc>
          <w:tcPr>
            <w:tcW w:w="882" w:type="pct"/>
            <w:tcBorders>
              <w:top w:val="outset" w:sz="6" w:space="0" w:color="auto"/>
              <w:left w:val="outset" w:sz="6" w:space="0" w:color="auto"/>
              <w:bottom w:val="outset" w:sz="6" w:space="0" w:color="auto"/>
              <w:right w:val="outset" w:sz="6" w:space="0" w:color="auto"/>
            </w:tcBorders>
            <w:vAlign w:val="center"/>
          </w:tcPr>
          <w:p w14:paraId="7106EEF1" w14:textId="77777777" w:rsidR="001672CB" w:rsidRPr="009F749A" w:rsidRDefault="00777272">
            <w:pPr>
              <w:rPr>
                <w:rFonts w:ascii="Source Sans Pro" w:eastAsia="Arial" w:hAnsi="Source Sans Pro" w:cs="Arial"/>
                <w:color w:val="000000"/>
                <w:sz w:val="20"/>
                <w:szCs w:val="20"/>
              </w:rPr>
            </w:pPr>
            <w:r w:rsidRPr="009F749A">
              <w:rPr>
                <w:rFonts w:ascii="Source Sans Pro" w:eastAsia="Arial" w:hAnsi="Source Sans Pro" w:cs="Arial"/>
                <w:color w:val="000000"/>
                <w:sz w:val="20"/>
                <w:szCs w:val="20"/>
              </w:rPr>
              <w:t>President, Academic Board</w:t>
            </w:r>
          </w:p>
        </w:tc>
        <w:tc>
          <w:tcPr>
            <w:tcW w:w="935" w:type="pct"/>
            <w:tcBorders>
              <w:top w:val="outset" w:sz="6" w:space="0" w:color="auto"/>
              <w:left w:val="outset" w:sz="6" w:space="0" w:color="auto"/>
              <w:bottom w:val="outset" w:sz="6" w:space="0" w:color="auto"/>
              <w:right w:val="outset" w:sz="6" w:space="0" w:color="auto"/>
            </w:tcBorders>
            <w:vAlign w:val="center"/>
          </w:tcPr>
          <w:p w14:paraId="320991F5" w14:textId="77777777" w:rsidR="001672CB" w:rsidRPr="009F749A" w:rsidRDefault="00777272">
            <w:pPr>
              <w:rPr>
                <w:rFonts w:ascii="Source Sans Pro" w:eastAsia="Arial" w:hAnsi="Source Sans Pro" w:cs="Arial"/>
                <w:color w:val="000000"/>
                <w:sz w:val="20"/>
                <w:szCs w:val="20"/>
              </w:rPr>
            </w:pPr>
            <w:r w:rsidRPr="009F749A">
              <w:rPr>
                <w:rFonts w:ascii="Source Sans Pro" w:eastAsia="Arial" w:hAnsi="Source Sans Pro" w:cs="Arial"/>
                <w:color w:val="000000"/>
                <w:sz w:val="20"/>
                <w:szCs w:val="20"/>
              </w:rPr>
              <w:t>16 November 2020</w:t>
            </w:r>
          </w:p>
        </w:tc>
        <w:tc>
          <w:tcPr>
            <w:tcW w:w="935" w:type="pct"/>
            <w:tcBorders>
              <w:top w:val="outset" w:sz="6" w:space="0" w:color="auto"/>
              <w:left w:val="outset" w:sz="6" w:space="0" w:color="auto"/>
              <w:bottom w:val="outset" w:sz="6" w:space="0" w:color="auto"/>
              <w:right w:val="outset" w:sz="6" w:space="0" w:color="auto"/>
            </w:tcBorders>
            <w:vAlign w:val="center"/>
          </w:tcPr>
          <w:p w14:paraId="343127F7" w14:textId="77777777" w:rsidR="001672CB" w:rsidRPr="009F749A" w:rsidRDefault="00777272">
            <w:pPr>
              <w:rPr>
                <w:rFonts w:ascii="Source Sans Pro" w:eastAsia="Arial" w:hAnsi="Source Sans Pro" w:cs="Arial"/>
                <w:color w:val="000000"/>
                <w:sz w:val="20"/>
                <w:szCs w:val="20"/>
              </w:rPr>
            </w:pPr>
            <w:r w:rsidRPr="009F749A">
              <w:rPr>
                <w:rFonts w:ascii="Source Sans Pro" w:eastAsia="Arial" w:hAnsi="Source Sans Pro" w:cs="Arial"/>
                <w:color w:val="000000"/>
                <w:sz w:val="20"/>
                <w:szCs w:val="20"/>
              </w:rPr>
              <w:t>17 December 2020</w:t>
            </w:r>
          </w:p>
        </w:tc>
        <w:tc>
          <w:tcPr>
            <w:tcW w:w="1707" w:type="pct"/>
            <w:tcBorders>
              <w:top w:val="outset" w:sz="6" w:space="0" w:color="auto"/>
              <w:left w:val="outset" w:sz="6" w:space="0" w:color="auto"/>
              <w:bottom w:val="outset" w:sz="6" w:space="0" w:color="auto"/>
              <w:right w:val="outset" w:sz="6" w:space="0" w:color="auto"/>
            </w:tcBorders>
            <w:vAlign w:val="center"/>
          </w:tcPr>
          <w:p w14:paraId="5CD6FEE7" w14:textId="77777777" w:rsidR="001672CB" w:rsidRPr="009F749A" w:rsidRDefault="00777272">
            <w:pPr>
              <w:rPr>
                <w:rFonts w:ascii="Source Sans Pro" w:eastAsia="Arial" w:hAnsi="Source Sans Pro" w:cs="Arial"/>
                <w:color w:val="000000"/>
                <w:sz w:val="20"/>
                <w:szCs w:val="20"/>
              </w:rPr>
            </w:pPr>
            <w:r w:rsidRPr="009F749A">
              <w:rPr>
                <w:rFonts w:ascii="Source Sans Pro" w:eastAsia="Arial" w:hAnsi="Source Sans Pro" w:cs="Arial"/>
                <w:color w:val="000000"/>
                <w:sz w:val="20"/>
                <w:szCs w:val="20"/>
              </w:rPr>
              <w:t>Updates to address diversity and inclusion requirements at 4.18. Clarifying that an appeal panel may impose conditions on an appellant's continued enrolment. </w:t>
            </w:r>
          </w:p>
        </w:tc>
      </w:tr>
      <w:tr w:rsidR="001672CB" w:rsidRPr="009F749A" w14:paraId="2B52CC4E" w14:textId="77777777" w:rsidTr="17E4B3F3">
        <w:trPr>
          <w:trHeight w:val="1395"/>
        </w:trPr>
        <w:tc>
          <w:tcPr>
            <w:tcW w:w="541" w:type="pct"/>
            <w:tcBorders>
              <w:top w:val="outset" w:sz="6" w:space="0" w:color="auto"/>
              <w:left w:val="outset" w:sz="6" w:space="0" w:color="auto"/>
              <w:bottom w:val="outset" w:sz="6" w:space="0" w:color="auto"/>
              <w:right w:val="outset" w:sz="6" w:space="0" w:color="auto"/>
            </w:tcBorders>
            <w:vAlign w:val="center"/>
          </w:tcPr>
          <w:p w14:paraId="2970B59D" w14:textId="77777777" w:rsidR="001672CB" w:rsidRPr="009F749A" w:rsidRDefault="00777272">
            <w:pPr>
              <w:rPr>
                <w:rFonts w:ascii="Source Sans Pro" w:eastAsia="Arial" w:hAnsi="Source Sans Pro" w:cs="Arial"/>
                <w:color w:val="000000"/>
                <w:sz w:val="20"/>
                <w:szCs w:val="20"/>
              </w:rPr>
            </w:pPr>
            <w:r w:rsidRPr="009F749A">
              <w:rPr>
                <w:rFonts w:ascii="Source Sans Pro" w:eastAsia="Arial" w:hAnsi="Source Sans Pro" w:cs="Arial"/>
                <w:color w:val="000000"/>
                <w:sz w:val="20"/>
                <w:szCs w:val="20"/>
              </w:rPr>
              <w:lastRenderedPageBreak/>
              <w:t>10</w:t>
            </w:r>
          </w:p>
        </w:tc>
        <w:tc>
          <w:tcPr>
            <w:tcW w:w="882" w:type="pct"/>
            <w:tcBorders>
              <w:top w:val="outset" w:sz="6" w:space="0" w:color="auto"/>
              <w:left w:val="outset" w:sz="6" w:space="0" w:color="auto"/>
              <w:bottom w:val="outset" w:sz="6" w:space="0" w:color="auto"/>
              <w:right w:val="outset" w:sz="6" w:space="0" w:color="auto"/>
            </w:tcBorders>
            <w:vAlign w:val="center"/>
          </w:tcPr>
          <w:p w14:paraId="63F40C4B" w14:textId="77777777" w:rsidR="001672CB" w:rsidRPr="009F749A" w:rsidRDefault="00777272">
            <w:pPr>
              <w:rPr>
                <w:rFonts w:ascii="Source Sans Pro" w:eastAsia="Arial" w:hAnsi="Source Sans Pro" w:cs="Arial"/>
                <w:color w:val="000000"/>
                <w:sz w:val="20"/>
                <w:szCs w:val="20"/>
              </w:rPr>
            </w:pPr>
            <w:r w:rsidRPr="009F749A">
              <w:rPr>
                <w:rFonts w:ascii="Source Sans Pro" w:eastAsia="Arial" w:hAnsi="Source Sans Pro" w:cs="Arial"/>
                <w:color w:val="000000"/>
                <w:sz w:val="20"/>
                <w:szCs w:val="20"/>
              </w:rPr>
              <w:t>President, Academic Board</w:t>
            </w:r>
          </w:p>
        </w:tc>
        <w:tc>
          <w:tcPr>
            <w:tcW w:w="935" w:type="pct"/>
            <w:tcBorders>
              <w:top w:val="outset" w:sz="6" w:space="0" w:color="auto"/>
              <w:left w:val="outset" w:sz="6" w:space="0" w:color="auto"/>
              <w:bottom w:val="outset" w:sz="6" w:space="0" w:color="auto"/>
              <w:right w:val="outset" w:sz="6" w:space="0" w:color="auto"/>
            </w:tcBorders>
            <w:vAlign w:val="center"/>
          </w:tcPr>
          <w:p w14:paraId="2488854B" w14:textId="77777777" w:rsidR="001672CB" w:rsidRPr="009F749A" w:rsidRDefault="00777272">
            <w:pPr>
              <w:rPr>
                <w:rFonts w:ascii="Source Sans Pro" w:eastAsia="Arial" w:hAnsi="Source Sans Pro" w:cs="Arial"/>
                <w:color w:val="000000"/>
                <w:sz w:val="20"/>
                <w:szCs w:val="20"/>
              </w:rPr>
            </w:pPr>
            <w:r w:rsidRPr="009F749A">
              <w:rPr>
                <w:rFonts w:ascii="Source Sans Pro" w:eastAsia="Arial" w:hAnsi="Source Sans Pro" w:cs="Arial"/>
                <w:color w:val="000000"/>
                <w:sz w:val="20"/>
                <w:szCs w:val="20"/>
              </w:rPr>
              <w:t>26 March 2021</w:t>
            </w:r>
          </w:p>
        </w:tc>
        <w:tc>
          <w:tcPr>
            <w:tcW w:w="935" w:type="pct"/>
            <w:tcBorders>
              <w:top w:val="outset" w:sz="6" w:space="0" w:color="auto"/>
              <w:left w:val="outset" w:sz="6" w:space="0" w:color="auto"/>
              <w:bottom w:val="outset" w:sz="6" w:space="0" w:color="auto"/>
              <w:right w:val="outset" w:sz="6" w:space="0" w:color="auto"/>
            </w:tcBorders>
            <w:vAlign w:val="center"/>
          </w:tcPr>
          <w:p w14:paraId="246E653D" w14:textId="77777777" w:rsidR="001672CB" w:rsidRPr="009F749A" w:rsidRDefault="00777272">
            <w:pPr>
              <w:rPr>
                <w:rFonts w:ascii="Source Sans Pro" w:eastAsia="Arial" w:hAnsi="Source Sans Pro" w:cs="Arial"/>
                <w:color w:val="000000"/>
                <w:sz w:val="20"/>
                <w:szCs w:val="20"/>
              </w:rPr>
            </w:pPr>
            <w:r w:rsidRPr="009F749A">
              <w:rPr>
                <w:rFonts w:ascii="Source Sans Pro" w:eastAsia="Arial" w:hAnsi="Source Sans Pro" w:cs="Arial"/>
                <w:color w:val="000000"/>
                <w:sz w:val="20"/>
                <w:szCs w:val="20"/>
              </w:rPr>
              <w:t>26 March 2021</w:t>
            </w:r>
          </w:p>
        </w:tc>
        <w:tc>
          <w:tcPr>
            <w:tcW w:w="1707" w:type="pct"/>
            <w:tcBorders>
              <w:top w:val="outset" w:sz="6" w:space="0" w:color="auto"/>
              <w:left w:val="outset" w:sz="6" w:space="0" w:color="auto"/>
              <w:bottom w:val="outset" w:sz="6" w:space="0" w:color="auto"/>
              <w:right w:val="outset" w:sz="6" w:space="0" w:color="auto"/>
            </w:tcBorders>
            <w:vAlign w:val="center"/>
          </w:tcPr>
          <w:p w14:paraId="3A2EAA94" w14:textId="77777777" w:rsidR="001672CB" w:rsidRPr="009F749A" w:rsidRDefault="00777272">
            <w:pPr>
              <w:rPr>
                <w:rFonts w:ascii="Source Sans Pro" w:eastAsia="Arial" w:hAnsi="Source Sans Pro" w:cs="Arial"/>
                <w:color w:val="000000"/>
                <w:sz w:val="20"/>
                <w:szCs w:val="20"/>
              </w:rPr>
            </w:pPr>
            <w:r w:rsidRPr="009F749A">
              <w:rPr>
                <w:rFonts w:ascii="Source Sans Pro" w:eastAsia="Arial" w:hAnsi="Source Sans Pro" w:cs="Arial"/>
                <w:color w:val="000000"/>
                <w:sz w:val="20"/>
                <w:szCs w:val="20"/>
              </w:rPr>
              <w:t>Addition of 4.7A. Updates to include the provision to hear appeals under the Vice-Chancellor Regulation, Part 7- Student Appeals. Change of the policy title from Student Appeals to the Academic Board Policy to the Student Appeals Policy. </w:t>
            </w:r>
          </w:p>
        </w:tc>
      </w:tr>
      <w:tr w:rsidR="001672CB" w:rsidRPr="009F749A" w14:paraId="3B28ADF1" w14:textId="77777777" w:rsidTr="17E4B3F3">
        <w:trPr>
          <w:trHeight w:val="270"/>
        </w:trPr>
        <w:tc>
          <w:tcPr>
            <w:tcW w:w="541" w:type="pct"/>
            <w:tcBorders>
              <w:top w:val="outset" w:sz="6" w:space="0" w:color="auto"/>
              <w:left w:val="outset" w:sz="6" w:space="0" w:color="auto"/>
              <w:bottom w:val="outset" w:sz="6" w:space="0" w:color="auto"/>
              <w:right w:val="outset" w:sz="6" w:space="0" w:color="auto"/>
            </w:tcBorders>
            <w:vAlign w:val="center"/>
          </w:tcPr>
          <w:p w14:paraId="22748C54" w14:textId="77777777" w:rsidR="001672CB" w:rsidRPr="009F749A" w:rsidRDefault="00777272">
            <w:pPr>
              <w:rPr>
                <w:rFonts w:ascii="Source Sans Pro" w:eastAsia="Arial" w:hAnsi="Source Sans Pro" w:cs="Arial"/>
                <w:color w:val="000000"/>
                <w:sz w:val="20"/>
                <w:szCs w:val="20"/>
              </w:rPr>
            </w:pPr>
            <w:r w:rsidRPr="009F749A">
              <w:rPr>
                <w:rFonts w:ascii="Source Sans Pro" w:eastAsia="Arial" w:hAnsi="Source Sans Pro" w:cs="Arial"/>
                <w:color w:val="000000"/>
                <w:sz w:val="20"/>
                <w:szCs w:val="20"/>
              </w:rPr>
              <w:t>11</w:t>
            </w:r>
          </w:p>
        </w:tc>
        <w:tc>
          <w:tcPr>
            <w:tcW w:w="882" w:type="pct"/>
            <w:tcBorders>
              <w:top w:val="outset" w:sz="6" w:space="0" w:color="auto"/>
              <w:left w:val="outset" w:sz="6" w:space="0" w:color="auto"/>
              <w:bottom w:val="outset" w:sz="6" w:space="0" w:color="auto"/>
              <w:right w:val="outset" w:sz="6" w:space="0" w:color="auto"/>
            </w:tcBorders>
            <w:vAlign w:val="center"/>
          </w:tcPr>
          <w:p w14:paraId="6C382AA2" w14:textId="77777777" w:rsidR="001672CB" w:rsidRPr="009F749A" w:rsidRDefault="00777272">
            <w:pPr>
              <w:rPr>
                <w:rFonts w:ascii="Source Sans Pro" w:eastAsia="Arial" w:hAnsi="Source Sans Pro" w:cs="Arial"/>
                <w:color w:val="000000"/>
                <w:sz w:val="20"/>
                <w:szCs w:val="20"/>
              </w:rPr>
            </w:pPr>
            <w:r w:rsidRPr="009F749A">
              <w:rPr>
                <w:rFonts w:ascii="Source Sans Pro" w:eastAsia="Arial" w:hAnsi="Source Sans Pro" w:cs="Arial"/>
                <w:color w:val="000000"/>
                <w:sz w:val="20"/>
                <w:szCs w:val="20"/>
              </w:rPr>
              <w:t>Academic Secretary</w:t>
            </w:r>
          </w:p>
        </w:tc>
        <w:tc>
          <w:tcPr>
            <w:tcW w:w="935" w:type="pct"/>
            <w:tcBorders>
              <w:top w:val="outset" w:sz="6" w:space="0" w:color="auto"/>
              <w:left w:val="outset" w:sz="6" w:space="0" w:color="auto"/>
              <w:bottom w:val="outset" w:sz="6" w:space="0" w:color="auto"/>
              <w:right w:val="outset" w:sz="6" w:space="0" w:color="auto"/>
            </w:tcBorders>
            <w:vAlign w:val="center"/>
          </w:tcPr>
          <w:p w14:paraId="41C88AED" w14:textId="77777777" w:rsidR="001672CB" w:rsidRPr="009F749A" w:rsidRDefault="00777272">
            <w:pPr>
              <w:rPr>
                <w:rFonts w:ascii="Source Sans Pro" w:eastAsia="Arial" w:hAnsi="Source Sans Pro" w:cs="Arial"/>
                <w:color w:val="000000"/>
                <w:sz w:val="20"/>
                <w:szCs w:val="20"/>
              </w:rPr>
            </w:pPr>
            <w:r w:rsidRPr="009F749A">
              <w:rPr>
                <w:rFonts w:ascii="Source Sans Pro" w:eastAsia="Arial" w:hAnsi="Source Sans Pro" w:cs="Arial"/>
                <w:color w:val="000000"/>
                <w:sz w:val="20"/>
                <w:szCs w:val="20"/>
              </w:rPr>
              <w:t>14 May 2021</w:t>
            </w:r>
          </w:p>
        </w:tc>
        <w:tc>
          <w:tcPr>
            <w:tcW w:w="935" w:type="pct"/>
            <w:tcBorders>
              <w:top w:val="outset" w:sz="6" w:space="0" w:color="auto"/>
              <w:left w:val="outset" w:sz="6" w:space="0" w:color="auto"/>
              <w:bottom w:val="outset" w:sz="6" w:space="0" w:color="auto"/>
              <w:right w:val="outset" w:sz="6" w:space="0" w:color="auto"/>
            </w:tcBorders>
            <w:vAlign w:val="center"/>
          </w:tcPr>
          <w:p w14:paraId="45868C86" w14:textId="77777777" w:rsidR="001672CB" w:rsidRPr="009F749A" w:rsidRDefault="00777272">
            <w:pPr>
              <w:rPr>
                <w:rFonts w:ascii="Source Sans Pro" w:eastAsia="Arial" w:hAnsi="Source Sans Pro" w:cs="Arial"/>
                <w:color w:val="000000"/>
                <w:sz w:val="20"/>
                <w:szCs w:val="20"/>
              </w:rPr>
            </w:pPr>
            <w:r w:rsidRPr="009F749A">
              <w:rPr>
                <w:rFonts w:ascii="Source Sans Pro" w:eastAsia="Arial" w:hAnsi="Source Sans Pro" w:cs="Arial"/>
                <w:color w:val="000000"/>
                <w:sz w:val="20"/>
                <w:szCs w:val="20"/>
              </w:rPr>
              <w:t>14 May 2021</w:t>
            </w:r>
          </w:p>
        </w:tc>
        <w:tc>
          <w:tcPr>
            <w:tcW w:w="1707" w:type="pct"/>
            <w:tcBorders>
              <w:top w:val="outset" w:sz="6" w:space="0" w:color="auto"/>
              <w:left w:val="outset" w:sz="6" w:space="0" w:color="auto"/>
              <w:bottom w:val="outset" w:sz="6" w:space="0" w:color="auto"/>
              <w:right w:val="outset" w:sz="6" w:space="0" w:color="auto"/>
            </w:tcBorders>
            <w:vAlign w:val="center"/>
          </w:tcPr>
          <w:p w14:paraId="55C9D622" w14:textId="77777777" w:rsidR="001672CB" w:rsidRPr="009F749A" w:rsidRDefault="00777272">
            <w:pPr>
              <w:rPr>
                <w:rFonts w:ascii="Source Sans Pro" w:eastAsia="Arial" w:hAnsi="Source Sans Pro" w:cs="Arial"/>
                <w:color w:val="000000"/>
                <w:sz w:val="20"/>
                <w:szCs w:val="20"/>
              </w:rPr>
            </w:pPr>
            <w:r w:rsidRPr="009F749A">
              <w:rPr>
                <w:rFonts w:ascii="Source Sans Pro" w:eastAsia="Arial" w:hAnsi="Source Sans Pro" w:cs="Arial"/>
                <w:color w:val="000000"/>
                <w:sz w:val="20"/>
                <w:szCs w:val="20"/>
              </w:rPr>
              <w:t>Amendments made to 4.9 and 4.12.</w:t>
            </w:r>
          </w:p>
        </w:tc>
      </w:tr>
      <w:tr w:rsidR="001672CB" w:rsidRPr="009F749A" w14:paraId="684F7CBB" w14:textId="77777777" w:rsidTr="17E4B3F3">
        <w:trPr>
          <w:trHeight w:val="1515"/>
        </w:trPr>
        <w:tc>
          <w:tcPr>
            <w:tcW w:w="541" w:type="pct"/>
            <w:tcBorders>
              <w:top w:val="outset" w:sz="6" w:space="0" w:color="auto"/>
              <w:left w:val="outset" w:sz="6" w:space="0" w:color="auto"/>
              <w:bottom w:val="outset" w:sz="6" w:space="0" w:color="auto"/>
              <w:right w:val="outset" w:sz="6" w:space="0" w:color="auto"/>
            </w:tcBorders>
            <w:vAlign w:val="center"/>
          </w:tcPr>
          <w:p w14:paraId="22A5DD5B" w14:textId="77777777" w:rsidR="001672CB" w:rsidRPr="009F749A" w:rsidRDefault="00777272">
            <w:pPr>
              <w:rPr>
                <w:rFonts w:ascii="Source Sans Pro" w:eastAsia="Arial" w:hAnsi="Source Sans Pro" w:cs="Arial"/>
                <w:color w:val="000000"/>
                <w:sz w:val="20"/>
                <w:szCs w:val="20"/>
              </w:rPr>
            </w:pPr>
            <w:r w:rsidRPr="009F749A">
              <w:rPr>
                <w:rFonts w:ascii="Source Sans Pro" w:eastAsia="Arial" w:hAnsi="Source Sans Pro" w:cs="Arial"/>
                <w:color w:val="000000"/>
                <w:sz w:val="20"/>
                <w:szCs w:val="20"/>
              </w:rPr>
              <w:t>12</w:t>
            </w:r>
          </w:p>
        </w:tc>
        <w:tc>
          <w:tcPr>
            <w:tcW w:w="882" w:type="pct"/>
            <w:tcBorders>
              <w:top w:val="outset" w:sz="6" w:space="0" w:color="auto"/>
              <w:left w:val="outset" w:sz="6" w:space="0" w:color="auto"/>
              <w:bottom w:val="outset" w:sz="6" w:space="0" w:color="auto"/>
              <w:right w:val="outset" w:sz="6" w:space="0" w:color="auto"/>
            </w:tcBorders>
            <w:vAlign w:val="center"/>
          </w:tcPr>
          <w:p w14:paraId="5029A7A0" w14:textId="77777777" w:rsidR="001672CB" w:rsidRPr="009F749A" w:rsidRDefault="00777272">
            <w:pPr>
              <w:rPr>
                <w:rFonts w:ascii="Source Sans Pro" w:eastAsia="Arial" w:hAnsi="Source Sans Pro" w:cs="Arial"/>
                <w:color w:val="000000"/>
                <w:sz w:val="20"/>
                <w:szCs w:val="20"/>
              </w:rPr>
            </w:pPr>
            <w:r w:rsidRPr="009F749A">
              <w:rPr>
                <w:rFonts w:ascii="Source Sans Pro" w:eastAsia="Arial" w:hAnsi="Source Sans Pro" w:cs="Arial"/>
                <w:color w:val="000000"/>
                <w:sz w:val="20"/>
                <w:szCs w:val="20"/>
              </w:rPr>
              <w:t>President, Academic Board</w:t>
            </w:r>
          </w:p>
        </w:tc>
        <w:tc>
          <w:tcPr>
            <w:tcW w:w="935" w:type="pct"/>
            <w:tcBorders>
              <w:top w:val="outset" w:sz="6" w:space="0" w:color="auto"/>
              <w:left w:val="outset" w:sz="6" w:space="0" w:color="auto"/>
              <w:bottom w:val="outset" w:sz="6" w:space="0" w:color="auto"/>
              <w:right w:val="outset" w:sz="6" w:space="0" w:color="auto"/>
            </w:tcBorders>
            <w:vAlign w:val="center"/>
          </w:tcPr>
          <w:p w14:paraId="69108E79" w14:textId="77777777" w:rsidR="001672CB" w:rsidRPr="009F749A" w:rsidRDefault="00777272">
            <w:pPr>
              <w:rPr>
                <w:rFonts w:ascii="Source Sans Pro" w:eastAsia="Arial" w:hAnsi="Source Sans Pro" w:cs="Arial"/>
                <w:color w:val="000000"/>
                <w:sz w:val="20"/>
                <w:szCs w:val="20"/>
              </w:rPr>
            </w:pPr>
            <w:r w:rsidRPr="009F749A">
              <w:rPr>
                <w:rFonts w:ascii="Source Sans Pro" w:eastAsia="Arial" w:hAnsi="Source Sans Pro" w:cs="Arial"/>
                <w:color w:val="000000"/>
                <w:sz w:val="20"/>
                <w:szCs w:val="20"/>
              </w:rPr>
              <w:t>6 October 2021</w:t>
            </w:r>
          </w:p>
        </w:tc>
        <w:tc>
          <w:tcPr>
            <w:tcW w:w="935" w:type="pct"/>
            <w:tcBorders>
              <w:top w:val="outset" w:sz="6" w:space="0" w:color="auto"/>
              <w:left w:val="outset" w:sz="6" w:space="0" w:color="auto"/>
              <w:bottom w:val="outset" w:sz="6" w:space="0" w:color="auto"/>
              <w:right w:val="outset" w:sz="6" w:space="0" w:color="auto"/>
            </w:tcBorders>
            <w:vAlign w:val="center"/>
          </w:tcPr>
          <w:p w14:paraId="3B36A0A2" w14:textId="77777777" w:rsidR="001672CB" w:rsidRPr="009F749A" w:rsidRDefault="00777272">
            <w:pPr>
              <w:rPr>
                <w:rFonts w:ascii="Source Sans Pro" w:eastAsia="Arial" w:hAnsi="Source Sans Pro" w:cs="Arial"/>
                <w:color w:val="000000"/>
                <w:sz w:val="20"/>
                <w:szCs w:val="20"/>
              </w:rPr>
            </w:pPr>
            <w:r w:rsidRPr="009F749A">
              <w:rPr>
                <w:rFonts w:ascii="Source Sans Pro" w:eastAsia="Arial" w:hAnsi="Source Sans Pro" w:cs="Arial"/>
                <w:color w:val="000000"/>
                <w:sz w:val="20"/>
                <w:szCs w:val="20"/>
              </w:rPr>
              <w:t>6 October 2021</w:t>
            </w:r>
          </w:p>
        </w:tc>
        <w:tc>
          <w:tcPr>
            <w:tcW w:w="1707" w:type="pct"/>
            <w:tcBorders>
              <w:top w:val="outset" w:sz="6" w:space="0" w:color="auto"/>
              <w:left w:val="outset" w:sz="6" w:space="0" w:color="auto"/>
              <w:bottom w:val="outset" w:sz="6" w:space="0" w:color="auto"/>
              <w:right w:val="outset" w:sz="6" w:space="0" w:color="auto"/>
            </w:tcBorders>
            <w:vAlign w:val="center"/>
          </w:tcPr>
          <w:p w14:paraId="39BD372D" w14:textId="77777777" w:rsidR="001672CB" w:rsidRPr="009F749A" w:rsidRDefault="00777272">
            <w:pPr>
              <w:spacing w:after="280" w:afterAutospacing="1"/>
              <w:rPr>
                <w:rFonts w:ascii="Source Sans Pro" w:eastAsia="Arial" w:hAnsi="Source Sans Pro" w:cs="Arial"/>
                <w:color w:val="000000"/>
                <w:sz w:val="20"/>
                <w:szCs w:val="20"/>
              </w:rPr>
            </w:pPr>
            <w:r w:rsidRPr="009F749A">
              <w:rPr>
                <w:rFonts w:ascii="Source Sans Pro" w:eastAsia="Arial" w:hAnsi="Source Sans Pro" w:cs="Arial"/>
                <w:color w:val="000000"/>
                <w:sz w:val="20"/>
                <w:szCs w:val="20"/>
              </w:rPr>
              <w:t>Amendments consequent upon amendments to the Academic Board Regulation, 4.12 and 4.13.</w:t>
            </w:r>
          </w:p>
          <w:p w14:paraId="2AFA8866" w14:textId="77777777" w:rsidR="001672CB" w:rsidRPr="009F749A" w:rsidRDefault="00777272">
            <w:pPr>
              <w:rPr>
                <w:rFonts w:ascii="Source Sans Pro" w:eastAsia="Arial" w:hAnsi="Source Sans Pro" w:cs="Arial"/>
                <w:color w:val="000000"/>
                <w:sz w:val="20"/>
                <w:szCs w:val="20"/>
              </w:rPr>
            </w:pPr>
            <w:r w:rsidRPr="009F749A">
              <w:rPr>
                <w:rFonts w:ascii="Source Sans Pro" w:eastAsia="Arial" w:hAnsi="Source Sans Pro" w:cs="Arial"/>
                <w:color w:val="000000"/>
                <w:sz w:val="20"/>
                <w:szCs w:val="20"/>
              </w:rPr>
              <w:t>Renumbering of 4.16 – 4.21 after deleting 4.16 (repeated 4.4)</w:t>
            </w:r>
          </w:p>
        </w:tc>
      </w:tr>
      <w:tr w:rsidR="001672CB" w:rsidRPr="009F749A" w14:paraId="4318CB6B" w14:textId="77777777" w:rsidTr="17E4B3F3">
        <w:trPr>
          <w:trHeight w:val="270"/>
        </w:trPr>
        <w:tc>
          <w:tcPr>
            <w:tcW w:w="541" w:type="pct"/>
            <w:tcBorders>
              <w:top w:val="outset" w:sz="6" w:space="0" w:color="auto"/>
              <w:left w:val="outset" w:sz="6" w:space="0" w:color="auto"/>
              <w:bottom w:val="outset" w:sz="6" w:space="0" w:color="auto"/>
              <w:right w:val="outset" w:sz="6" w:space="0" w:color="auto"/>
            </w:tcBorders>
            <w:vAlign w:val="center"/>
          </w:tcPr>
          <w:p w14:paraId="4C70FD4E" w14:textId="77777777" w:rsidR="001672CB" w:rsidRPr="009F749A" w:rsidRDefault="00777272">
            <w:pPr>
              <w:rPr>
                <w:rFonts w:ascii="Source Sans Pro" w:eastAsia="Arial" w:hAnsi="Source Sans Pro" w:cs="Arial"/>
                <w:color w:val="000000"/>
                <w:sz w:val="20"/>
                <w:szCs w:val="20"/>
              </w:rPr>
            </w:pPr>
            <w:r w:rsidRPr="009F749A">
              <w:rPr>
                <w:rFonts w:ascii="Source Sans Pro" w:eastAsia="Arial" w:hAnsi="Source Sans Pro" w:cs="Arial"/>
                <w:color w:val="000000"/>
                <w:sz w:val="20"/>
                <w:szCs w:val="20"/>
              </w:rPr>
              <w:t>13</w:t>
            </w:r>
          </w:p>
        </w:tc>
        <w:tc>
          <w:tcPr>
            <w:tcW w:w="882" w:type="pct"/>
            <w:tcBorders>
              <w:top w:val="outset" w:sz="6" w:space="0" w:color="auto"/>
              <w:left w:val="outset" w:sz="6" w:space="0" w:color="auto"/>
              <w:bottom w:val="outset" w:sz="6" w:space="0" w:color="auto"/>
              <w:right w:val="outset" w:sz="6" w:space="0" w:color="auto"/>
            </w:tcBorders>
            <w:vAlign w:val="center"/>
          </w:tcPr>
          <w:p w14:paraId="25B27E57" w14:textId="77777777" w:rsidR="001672CB" w:rsidRPr="009F749A" w:rsidRDefault="00777272">
            <w:pPr>
              <w:rPr>
                <w:rFonts w:ascii="Source Sans Pro" w:eastAsia="Arial" w:hAnsi="Source Sans Pro" w:cs="Arial"/>
                <w:color w:val="000000"/>
                <w:sz w:val="20"/>
                <w:szCs w:val="20"/>
              </w:rPr>
            </w:pPr>
            <w:r w:rsidRPr="009F749A">
              <w:rPr>
                <w:rFonts w:ascii="Source Sans Pro" w:eastAsia="Arial" w:hAnsi="Source Sans Pro" w:cs="Arial"/>
                <w:i/>
                <w:iCs/>
                <w:color w:val="000000"/>
                <w:sz w:val="20"/>
                <w:szCs w:val="20"/>
              </w:rPr>
              <w:t>N/A</w:t>
            </w:r>
          </w:p>
        </w:tc>
        <w:tc>
          <w:tcPr>
            <w:tcW w:w="935" w:type="pct"/>
            <w:tcBorders>
              <w:top w:val="outset" w:sz="6" w:space="0" w:color="auto"/>
              <w:left w:val="outset" w:sz="6" w:space="0" w:color="auto"/>
              <w:bottom w:val="outset" w:sz="6" w:space="0" w:color="auto"/>
              <w:right w:val="outset" w:sz="6" w:space="0" w:color="auto"/>
            </w:tcBorders>
            <w:vAlign w:val="center"/>
          </w:tcPr>
          <w:p w14:paraId="4BA5A3C0" w14:textId="77777777" w:rsidR="001672CB" w:rsidRPr="009F749A" w:rsidRDefault="00777272">
            <w:pPr>
              <w:rPr>
                <w:rFonts w:ascii="Source Sans Pro" w:eastAsia="Arial" w:hAnsi="Source Sans Pro" w:cs="Arial"/>
                <w:color w:val="000000"/>
                <w:sz w:val="20"/>
                <w:szCs w:val="20"/>
              </w:rPr>
            </w:pPr>
            <w:r w:rsidRPr="009F749A">
              <w:rPr>
                <w:rFonts w:ascii="Source Sans Pro" w:eastAsia="Arial" w:hAnsi="Source Sans Pro" w:cs="Arial"/>
                <w:i/>
                <w:iCs/>
                <w:color w:val="000000"/>
                <w:sz w:val="20"/>
                <w:szCs w:val="20"/>
              </w:rPr>
              <w:t>N/A</w:t>
            </w:r>
          </w:p>
        </w:tc>
        <w:tc>
          <w:tcPr>
            <w:tcW w:w="935" w:type="pct"/>
            <w:tcBorders>
              <w:top w:val="outset" w:sz="6" w:space="0" w:color="auto"/>
              <w:left w:val="outset" w:sz="6" w:space="0" w:color="auto"/>
              <w:bottom w:val="outset" w:sz="6" w:space="0" w:color="auto"/>
              <w:right w:val="outset" w:sz="6" w:space="0" w:color="auto"/>
            </w:tcBorders>
            <w:vAlign w:val="center"/>
          </w:tcPr>
          <w:p w14:paraId="2C87D5EB" w14:textId="77777777" w:rsidR="001672CB" w:rsidRPr="009F749A" w:rsidRDefault="00777272">
            <w:pPr>
              <w:rPr>
                <w:rFonts w:ascii="Source Sans Pro" w:eastAsia="Arial" w:hAnsi="Source Sans Pro" w:cs="Arial"/>
                <w:color w:val="000000"/>
                <w:sz w:val="20"/>
                <w:szCs w:val="20"/>
              </w:rPr>
            </w:pPr>
            <w:r w:rsidRPr="009F749A">
              <w:rPr>
                <w:rFonts w:ascii="Source Sans Pro" w:eastAsia="Arial" w:hAnsi="Source Sans Pro" w:cs="Arial"/>
                <w:i/>
                <w:iCs/>
                <w:color w:val="000000"/>
                <w:sz w:val="20"/>
                <w:szCs w:val="20"/>
              </w:rPr>
              <w:t>N/A</w:t>
            </w:r>
          </w:p>
        </w:tc>
        <w:tc>
          <w:tcPr>
            <w:tcW w:w="1707" w:type="pct"/>
            <w:tcBorders>
              <w:top w:val="outset" w:sz="6" w:space="0" w:color="auto"/>
              <w:left w:val="outset" w:sz="6" w:space="0" w:color="auto"/>
              <w:bottom w:val="outset" w:sz="6" w:space="0" w:color="auto"/>
              <w:right w:val="outset" w:sz="6" w:space="0" w:color="auto"/>
            </w:tcBorders>
            <w:vAlign w:val="center"/>
          </w:tcPr>
          <w:p w14:paraId="722651B0" w14:textId="77777777" w:rsidR="001672CB" w:rsidRPr="009F749A" w:rsidRDefault="00777272">
            <w:pPr>
              <w:rPr>
                <w:rFonts w:ascii="Source Sans Pro" w:eastAsia="Arial" w:hAnsi="Source Sans Pro" w:cs="Arial"/>
                <w:color w:val="000000"/>
                <w:sz w:val="20"/>
                <w:szCs w:val="20"/>
              </w:rPr>
            </w:pPr>
            <w:r w:rsidRPr="009F749A">
              <w:rPr>
                <w:rFonts w:ascii="Source Sans Pro" w:eastAsia="Arial" w:hAnsi="Source Sans Pro" w:cs="Arial"/>
                <w:i/>
                <w:iCs/>
                <w:color w:val="000000"/>
                <w:sz w:val="20"/>
                <w:szCs w:val="20"/>
              </w:rPr>
              <w:t>Created in error.</w:t>
            </w:r>
          </w:p>
        </w:tc>
      </w:tr>
      <w:tr w:rsidR="001672CB" w:rsidRPr="009F749A" w14:paraId="14C30D36" w14:textId="77777777" w:rsidTr="17E4B3F3">
        <w:trPr>
          <w:trHeight w:val="675"/>
        </w:trPr>
        <w:tc>
          <w:tcPr>
            <w:tcW w:w="541" w:type="pct"/>
            <w:tcBorders>
              <w:top w:val="outset" w:sz="6" w:space="0" w:color="auto"/>
              <w:left w:val="outset" w:sz="6" w:space="0" w:color="auto"/>
              <w:bottom w:val="outset" w:sz="6" w:space="0" w:color="auto"/>
              <w:right w:val="outset" w:sz="6" w:space="0" w:color="auto"/>
            </w:tcBorders>
            <w:vAlign w:val="center"/>
          </w:tcPr>
          <w:p w14:paraId="294092BA" w14:textId="77777777" w:rsidR="001672CB" w:rsidRPr="009F749A" w:rsidRDefault="00777272">
            <w:pPr>
              <w:rPr>
                <w:rFonts w:ascii="Source Sans Pro" w:eastAsia="Arial" w:hAnsi="Source Sans Pro" w:cs="Arial"/>
                <w:color w:val="000000"/>
                <w:sz w:val="20"/>
                <w:szCs w:val="20"/>
              </w:rPr>
            </w:pPr>
            <w:r w:rsidRPr="009F749A">
              <w:rPr>
                <w:rFonts w:ascii="Source Sans Pro" w:eastAsia="Arial" w:hAnsi="Source Sans Pro" w:cs="Arial"/>
                <w:color w:val="000000"/>
                <w:sz w:val="20"/>
                <w:szCs w:val="20"/>
              </w:rPr>
              <w:t>14</w:t>
            </w:r>
          </w:p>
        </w:tc>
        <w:tc>
          <w:tcPr>
            <w:tcW w:w="882" w:type="pct"/>
            <w:tcBorders>
              <w:top w:val="outset" w:sz="6" w:space="0" w:color="auto"/>
              <w:left w:val="outset" w:sz="6" w:space="0" w:color="auto"/>
              <w:bottom w:val="outset" w:sz="6" w:space="0" w:color="auto"/>
              <w:right w:val="outset" w:sz="6" w:space="0" w:color="auto"/>
            </w:tcBorders>
            <w:vAlign w:val="center"/>
          </w:tcPr>
          <w:p w14:paraId="2D49AEA8" w14:textId="77777777" w:rsidR="001672CB" w:rsidRPr="009F749A" w:rsidRDefault="00777272">
            <w:pPr>
              <w:rPr>
                <w:rFonts w:ascii="Source Sans Pro" w:eastAsia="Arial" w:hAnsi="Source Sans Pro" w:cs="Arial"/>
                <w:color w:val="000000"/>
                <w:sz w:val="20"/>
                <w:szCs w:val="20"/>
              </w:rPr>
            </w:pPr>
            <w:r w:rsidRPr="009F749A">
              <w:rPr>
                <w:rFonts w:ascii="Source Sans Pro" w:eastAsia="Arial" w:hAnsi="Source Sans Pro" w:cs="Arial"/>
                <w:color w:val="000000"/>
                <w:sz w:val="20"/>
                <w:szCs w:val="20"/>
              </w:rPr>
              <w:t>Policy Officer</w:t>
            </w:r>
          </w:p>
        </w:tc>
        <w:tc>
          <w:tcPr>
            <w:tcW w:w="935" w:type="pct"/>
            <w:tcBorders>
              <w:top w:val="outset" w:sz="6" w:space="0" w:color="auto"/>
              <w:left w:val="outset" w:sz="6" w:space="0" w:color="auto"/>
              <w:bottom w:val="outset" w:sz="6" w:space="0" w:color="auto"/>
              <w:right w:val="outset" w:sz="6" w:space="0" w:color="auto"/>
            </w:tcBorders>
            <w:vAlign w:val="center"/>
          </w:tcPr>
          <w:p w14:paraId="7EBE28A3" w14:textId="77777777" w:rsidR="001672CB" w:rsidRPr="009F749A" w:rsidRDefault="00777272">
            <w:pPr>
              <w:rPr>
                <w:rFonts w:ascii="Source Sans Pro" w:eastAsia="Arial" w:hAnsi="Source Sans Pro" w:cs="Arial"/>
                <w:color w:val="000000"/>
                <w:sz w:val="20"/>
                <w:szCs w:val="20"/>
              </w:rPr>
            </w:pPr>
            <w:r w:rsidRPr="009F749A">
              <w:rPr>
                <w:rFonts w:ascii="Source Sans Pro" w:eastAsia="Arial" w:hAnsi="Source Sans Pro" w:cs="Arial"/>
                <w:color w:val="000000"/>
                <w:sz w:val="20"/>
                <w:szCs w:val="20"/>
              </w:rPr>
              <w:t>6 October 2021</w:t>
            </w:r>
          </w:p>
        </w:tc>
        <w:tc>
          <w:tcPr>
            <w:tcW w:w="935" w:type="pct"/>
            <w:tcBorders>
              <w:top w:val="outset" w:sz="6" w:space="0" w:color="auto"/>
              <w:left w:val="outset" w:sz="6" w:space="0" w:color="auto"/>
              <w:bottom w:val="outset" w:sz="6" w:space="0" w:color="auto"/>
              <w:right w:val="outset" w:sz="6" w:space="0" w:color="auto"/>
            </w:tcBorders>
            <w:vAlign w:val="center"/>
          </w:tcPr>
          <w:p w14:paraId="6029EB9A" w14:textId="77777777" w:rsidR="001672CB" w:rsidRPr="009F749A" w:rsidRDefault="00777272">
            <w:pPr>
              <w:rPr>
                <w:rFonts w:ascii="Source Sans Pro" w:eastAsia="Arial" w:hAnsi="Source Sans Pro" w:cs="Arial"/>
                <w:color w:val="000000"/>
                <w:sz w:val="20"/>
                <w:szCs w:val="20"/>
              </w:rPr>
            </w:pPr>
            <w:r w:rsidRPr="009F749A">
              <w:rPr>
                <w:rFonts w:ascii="Source Sans Pro" w:eastAsia="Arial" w:hAnsi="Source Sans Pro" w:cs="Arial"/>
                <w:color w:val="000000"/>
                <w:sz w:val="20"/>
                <w:szCs w:val="20"/>
              </w:rPr>
              <w:t>6 October 2021</w:t>
            </w:r>
          </w:p>
        </w:tc>
        <w:tc>
          <w:tcPr>
            <w:tcW w:w="1707" w:type="pct"/>
            <w:tcBorders>
              <w:top w:val="outset" w:sz="6" w:space="0" w:color="auto"/>
              <w:left w:val="outset" w:sz="6" w:space="0" w:color="auto"/>
              <w:bottom w:val="outset" w:sz="6" w:space="0" w:color="auto"/>
              <w:right w:val="outset" w:sz="6" w:space="0" w:color="auto"/>
            </w:tcBorders>
            <w:vAlign w:val="center"/>
          </w:tcPr>
          <w:p w14:paraId="43404C7C" w14:textId="77777777" w:rsidR="001672CB" w:rsidRPr="009F749A" w:rsidRDefault="00777272">
            <w:pPr>
              <w:rPr>
                <w:rFonts w:ascii="Source Sans Pro" w:eastAsia="Arial" w:hAnsi="Source Sans Pro" w:cs="Arial"/>
                <w:color w:val="000000"/>
                <w:sz w:val="20"/>
                <w:szCs w:val="20"/>
              </w:rPr>
            </w:pPr>
            <w:r w:rsidRPr="009F749A">
              <w:rPr>
                <w:rFonts w:ascii="Source Sans Pro" w:eastAsia="Arial" w:hAnsi="Source Sans Pro" w:cs="Arial"/>
                <w:color w:val="000000"/>
                <w:sz w:val="20"/>
                <w:szCs w:val="20"/>
              </w:rPr>
              <w:t>Editorial change at 4.13.</w:t>
            </w:r>
          </w:p>
        </w:tc>
      </w:tr>
      <w:tr w:rsidR="001672CB" w:rsidRPr="009F749A" w14:paraId="21B4EF84" w14:textId="77777777" w:rsidTr="17E4B3F3">
        <w:tc>
          <w:tcPr>
            <w:tcW w:w="541" w:type="pct"/>
            <w:tcBorders>
              <w:top w:val="outset" w:sz="6" w:space="0" w:color="auto"/>
              <w:left w:val="outset" w:sz="6" w:space="0" w:color="auto"/>
              <w:bottom w:val="outset" w:sz="6" w:space="0" w:color="auto"/>
              <w:right w:val="outset" w:sz="6" w:space="0" w:color="auto"/>
            </w:tcBorders>
            <w:vAlign w:val="center"/>
          </w:tcPr>
          <w:p w14:paraId="19DE9421" w14:textId="77777777" w:rsidR="001672CB" w:rsidRPr="009F749A" w:rsidRDefault="00777272">
            <w:pPr>
              <w:rPr>
                <w:rFonts w:ascii="Source Sans Pro" w:eastAsia="Arial" w:hAnsi="Source Sans Pro" w:cs="Arial"/>
                <w:color w:val="000000"/>
                <w:sz w:val="20"/>
                <w:szCs w:val="20"/>
              </w:rPr>
            </w:pPr>
            <w:r w:rsidRPr="009F749A">
              <w:rPr>
                <w:rFonts w:ascii="Source Sans Pro" w:eastAsia="Arial" w:hAnsi="Source Sans Pro" w:cs="Arial"/>
                <w:color w:val="000000"/>
                <w:sz w:val="20"/>
                <w:szCs w:val="20"/>
              </w:rPr>
              <w:t>15</w:t>
            </w:r>
          </w:p>
        </w:tc>
        <w:tc>
          <w:tcPr>
            <w:tcW w:w="882" w:type="pct"/>
            <w:tcBorders>
              <w:top w:val="outset" w:sz="6" w:space="0" w:color="auto"/>
              <w:left w:val="outset" w:sz="6" w:space="0" w:color="auto"/>
              <w:bottom w:val="outset" w:sz="6" w:space="0" w:color="auto"/>
              <w:right w:val="outset" w:sz="6" w:space="0" w:color="auto"/>
            </w:tcBorders>
            <w:vAlign w:val="center"/>
          </w:tcPr>
          <w:p w14:paraId="0AE582B8" w14:textId="77777777" w:rsidR="001672CB" w:rsidRPr="009F749A" w:rsidRDefault="00777272">
            <w:pPr>
              <w:rPr>
                <w:rFonts w:ascii="Source Sans Pro" w:eastAsia="Arial" w:hAnsi="Source Sans Pro" w:cs="Arial"/>
                <w:color w:val="000000"/>
                <w:sz w:val="20"/>
                <w:szCs w:val="20"/>
              </w:rPr>
            </w:pPr>
            <w:r w:rsidRPr="009F749A">
              <w:rPr>
                <w:rFonts w:ascii="Source Sans Pro" w:eastAsia="Arial" w:hAnsi="Source Sans Pro" w:cs="Arial"/>
                <w:color w:val="000000"/>
                <w:sz w:val="20"/>
                <w:szCs w:val="20"/>
              </w:rPr>
              <w:t>President, Academic Board</w:t>
            </w:r>
          </w:p>
        </w:tc>
        <w:tc>
          <w:tcPr>
            <w:tcW w:w="935" w:type="pct"/>
            <w:tcBorders>
              <w:top w:val="outset" w:sz="6" w:space="0" w:color="auto"/>
              <w:left w:val="outset" w:sz="6" w:space="0" w:color="auto"/>
              <w:bottom w:val="outset" w:sz="6" w:space="0" w:color="auto"/>
              <w:right w:val="outset" w:sz="6" w:space="0" w:color="auto"/>
            </w:tcBorders>
            <w:vAlign w:val="center"/>
          </w:tcPr>
          <w:p w14:paraId="21D48052" w14:textId="77777777" w:rsidR="001672CB" w:rsidRPr="009F749A" w:rsidRDefault="00777272">
            <w:pPr>
              <w:rPr>
                <w:rFonts w:ascii="Source Sans Pro" w:eastAsia="Arial" w:hAnsi="Source Sans Pro" w:cs="Arial"/>
                <w:color w:val="000000"/>
                <w:sz w:val="20"/>
                <w:szCs w:val="20"/>
              </w:rPr>
            </w:pPr>
            <w:r w:rsidRPr="009F749A">
              <w:rPr>
                <w:rFonts w:ascii="Source Sans Pro" w:eastAsia="Arial" w:hAnsi="Source Sans Pro" w:cs="Arial"/>
                <w:color w:val="000000"/>
                <w:sz w:val="20"/>
                <w:szCs w:val="20"/>
              </w:rPr>
              <w:t>17 February 2022</w:t>
            </w:r>
          </w:p>
        </w:tc>
        <w:tc>
          <w:tcPr>
            <w:tcW w:w="935" w:type="pct"/>
            <w:tcBorders>
              <w:top w:val="outset" w:sz="6" w:space="0" w:color="auto"/>
              <w:left w:val="outset" w:sz="6" w:space="0" w:color="auto"/>
              <w:bottom w:val="outset" w:sz="6" w:space="0" w:color="auto"/>
              <w:right w:val="outset" w:sz="6" w:space="0" w:color="auto"/>
            </w:tcBorders>
            <w:vAlign w:val="center"/>
          </w:tcPr>
          <w:p w14:paraId="704B9B75" w14:textId="77777777" w:rsidR="001672CB" w:rsidRPr="009F749A" w:rsidRDefault="00777272">
            <w:pPr>
              <w:rPr>
                <w:rFonts w:ascii="Source Sans Pro" w:eastAsia="Arial" w:hAnsi="Source Sans Pro" w:cs="Arial"/>
                <w:color w:val="000000"/>
                <w:sz w:val="20"/>
                <w:szCs w:val="20"/>
              </w:rPr>
            </w:pPr>
            <w:r w:rsidRPr="009F749A">
              <w:rPr>
                <w:rFonts w:ascii="Source Sans Pro" w:eastAsia="Arial" w:hAnsi="Source Sans Pro" w:cs="Arial"/>
                <w:color w:val="000000"/>
                <w:sz w:val="20"/>
                <w:szCs w:val="20"/>
              </w:rPr>
              <w:t>24 March 2022</w:t>
            </w:r>
          </w:p>
        </w:tc>
        <w:tc>
          <w:tcPr>
            <w:tcW w:w="1707" w:type="pct"/>
            <w:tcBorders>
              <w:top w:val="outset" w:sz="6" w:space="0" w:color="auto"/>
              <w:left w:val="outset" w:sz="6" w:space="0" w:color="auto"/>
              <w:bottom w:val="outset" w:sz="6" w:space="0" w:color="auto"/>
              <w:right w:val="outset" w:sz="6" w:space="0" w:color="auto"/>
            </w:tcBorders>
            <w:vAlign w:val="center"/>
          </w:tcPr>
          <w:p w14:paraId="1F97D742" w14:textId="77777777" w:rsidR="001672CB" w:rsidRPr="009F749A" w:rsidRDefault="00777272">
            <w:pPr>
              <w:spacing w:after="280" w:afterAutospacing="1"/>
              <w:rPr>
                <w:rFonts w:ascii="Source Sans Pro" w:eastAsia="Arial" w:hAnsi="Source Sans Pro" w:cs="Arial"/>
                <w:color w:val="000000"/>
                <w:sz w:val="20"/>
                <w:szCs w:val="20"/>
              </w:rPr>
            </w:pPr>
            <w:r w:rsidRPr="009F749A">
              <w:rPr>
                <w:rFonts w:ascii="Source Sans Pro" w:eastAsia="Arial" w:hAnsi="Source Sans Pro" w:cs="Arial"/>
                <w:color w:val="000000"/>
                <w:sz w:val="20"/>
                <w:szCs w:val="20"/>
              </w:rPr>
              <w:t>Amendments to 4.13, 4.15, 7 (definition of ‘academic misconduct decision’)</w:t>
            </w:r>
          </w:p>
          <w:p w14:paraId="1F29CD47" w14:textId="77777777" w:rsidR="001672CB" w:rsidRPr="009F749A" w:rsidRDefault="00777272">
            <w:pPr>
              <w:rPr>
                <w:rFonts w:ascii="Source Sans Pro" w:eastAsia="Arial" w:hAnsi="Source Sans Pro" w:cs="Arial"/>
                <w:color w:val="000000"/>
                <w:sz w:val="20"/>
                <w:szCs w:val="20"/>
              </w:rPr>
            </w:pPr>
            <w:r w:rsidRPr="009F749A">
              <w:rPr>
                <w:rFonts w:ascii="Source Sans Pro" w:eastAsia="Arial" w:hAnsi="Source Sans Pro" w:cs="Arial"/>
                <w:color w:val="000000"/>
                <w:sz w:val="20"/>
                <w:szCs w:val="20"/>
              </w:rPr>
              <w:t>Insertion of 4.14 &amp; 5.18</w:t>
            </w:r>
          </w:p>
        </w:tc>
      </w:tr>
      <w:tr w:rsidR="001672CB" w:rsidRPr="009F749A" w14:paraId="0C596F65" w14:textId="77777777" w:rsidTr="17E4B3F3">
        <w:tc>
          <w:tcPr>
            <w:tcW w:w="541" w:type="pct"/>
            <w:tcBorders>
              <w:top w:val="outset" w:sz="6" w:space="0" w:color="auto"/>
              <w:left w:val="outset" w:sz="6" w:space="0" w:color="auto"/>
              <w:bottom w:val="outset" w:sz="6" w:space="0" w:color="auto"/>
              <w:right w:val="outset" w:sz="6" w:space="0" w:color="auto"/>
            </w:tcBorders>
            <w:vAlign w:val="center"/>
          </w:tcPr>
          <w:p w14:paraId="355562CF" w14:textId="77777777" w:rsidR="001672CB" w:rsidRPr="009F749A" w:rsidRDefault="00777272">
            <w:pPr>
              <w:rPr>
                <w:rFonts w:ascii="Source Sans Pro" w:eastAsia="Arial" w:hAnsi="Source Sans Pro" w:cs="Arial"/>
                <w:color w:val="000000"/>
                <w:sz w:val="20"/>
                <w:szCs w:val="20"/>
              </w:rPr>
            </w:pPr>
            <w:r w:rsidRPr="009F749A">
              <w:rPr>
                <w:rFonts w:ascii="Source Sans Pro" w:eastAsia="Arial" w:hAnsi="Source Sans Pro" w:cs="Arial"/>
                <w:color w:val="000000"/>
                <w:sz w:val="20"/>
                <w:szCs w:val="20"/>
              </w:rPr>
              <w:t>16</w:t>
            </w:r>
          </w:p>
        </w:tc>
        <w:tc>
          <w:tcPr>
            <w:tcW w:w="882" w:type="pct"/>
            <w:tcBorders>
              <w:top w:val="outset" w:sz="6" w:space="0" w:color="auto"/>
              <w:left w:val="outset" w:sz="6" w:space="0" w:color="auto"/>
              <w:bottom w:val="outset" w:sz="6" w:space="0" w:color="auto"/>
              <w:right w:val="outset" w:sz="6" w:space="0" w:color="auto"/>
            </w:tcBorders>
            <w:vAlign w:val="center"/>
          </w:tcPr>
          <w:p w14:paraId="27BC8075" w14:textId="77777777" w:rsidR="001672CB" w:rsidRPr="009F749A" w:rsidRDefault="00777272">
            <w:pPr>
              <w:rPr>
                <w:rFonts w:ascii="Source Sans Pro" w:eastAsia="Arial" w:hAnsi="Source Sans Pro" w:cs="Arial"/>
                <w:color w:val="000000"/>
                <w:sz w:val="20"/>
                <w:szCs w:val="20"/>
              </w:rPr>
            </w:pPr>
            <w:r w:rsidRPr="009F749A">
              <w:rPr>
                <w:rFonts w:ascii="Source Sans Pro" w:eastAsia="Arial" w:hAnsi="Source Sans Pro" w:cs="Arial"/>
                <w:color w:val="000000"/>
                <w:sz w:val="20"/>
                <w:szCs w:val="20"/>
              </w:rPr>
              <w:t>President, Academic Board</w:t>
            </w:r>
          </w:p>
        </w:tc>
        <w:tc>
          <w:tcPr>
            <w:tcW w:w="935" w:type="pct"/>
            <w:tcBorders>
              <w:top w:val="outset" w:sz="6" w:space="0" w:color="auto"/>
              <w:left w:val="outset" w:sz="6" w:space="0" w:color="auto"/>
              <w:bottom w:val="outset" w:sz="6" w:space="0" w:color="auto"/>
              <w:right w:val="outset" w:sz="6" w:space="0" w:color="auto"/>
            </w:tcBorders>
            <w:vAlign w:val="center"/>
          </w:tcPr>
          <w:p w14:paraId="0598D981" w14:textId="77777777" w:rsidR="001672CB" w:rsidRPr="009F749A" w:rsidRDefault="00777272">
            <w:pPr>
              <w:rPr>
                <w:rFonts w:ascii="Source Sans Pro" w:eastAsia="Arial" w:hAnsi="Source Sans Pro" w:cs="Arial"/>
                <w:color w:val="000000"/>
                <w:sz w:val="20"/>
                <w:szCs w:val="20"/>
              </w:rPr>
            </w:pPr>
            <w:r w:rsidRPr="009F749A">
              <w:rPr>
                <w:rFonts w:ascii="Source Sans Pro" w:eastAsia="Arial" w:hAnsi="Source Sans Pro" w:cs="Arial"/>
                <w:color w:val="000000"/>
                <w:sz w:val="20"/>
                <w:szCs w:val="20"/>
              </w:rPr>
              <w:t>4 May 2022</w:t>
            </w:r>
          </w:p>
        </w:tc>
        <w:tc>
          <w:tcPr>
            <w:tcW w:w="935" w:type="pct"/>
            <w:tcBorders>
              <w:top w:val="outset" w:sz="6" w:space="0" w:color="auto"/>
              <w:left w:val="outset" w:sz="6" w:space="0" w:color="auto"/>
              <w:bottom w:val="outset" w:sz="6" w:space="0" w:color="auto"/>
              <w:right w:val="outset" w:sz="6" w:space="0" w:color="auto"/>
            </w:tcBorders>
            <w:vAlign w:val="center"/>
          </w:tcPr>
          <w:p w14:paraId="53DCEAE6" w14:textId="77777777" w:rsidR="001672CB" w:rsidRPr="009F749A" w:rsidRDefault="00777272">
            <w:pPr>
              <w:rPr>
                <w:rFonts w:ascii="Source Sans Pro" w:eastAsia="Arial" w:hAnsi="Source Sans Pro" w:cs="Arial"/>
                <w:color w:val="000000"/>
                <w:sz w:val="20"/>
                <w:szCs w:val="20"/>
              </w:rPr>
            </w:pPr>
            <w:r w:rsidRPr="009F749A">
              <w:rPr>
                <w:rFonts w:ascii="Source Sans Pro" w:eastAsia="Arial" w:hAnsi="Source Sans Pro" w:cs="Arial"/>
                <w:color w:val="000000"/>
                <w:sz w:val="20"/>
                <w:szCs w:val="20"/>
              </w:rPr>
              <w:t>31 May 2022</w:t>
            </w:r>
          </w:p>
        </w:tc>
        <w:tc>
          <w:tcPr>
            <w:tcW w:w="1707" w:type="pct"/>
            <w:tcBorders>
              <w:top w:val="outset" w:sz="6" w:space="0" w:color="auto"/>
              <w:left w:val="outset" w:sz="6" w:space="0" w:color="auto"/>
              <w:bottom w:val="outset" w:sz="6" w:space="0" w:color="auto"/>
              <w:right w:val="outset" w:sz="6" w:space="0" w:color="auto"/>
            </w:tcBorders>
            <w:vAlign w:val="center"/>
          </w:tcPr>
          <w:p w14:paraId="5D2C6CDE" w14:textId="77777777" w:rsidR="001672CB" w:rsidRPr="009F749A" w:rsidRDefault="00777272">
            <w:pPr>
              <w:rPr>
                <w:rFonts w:ascii="Source Sans Pro" w:eastAsia="Arial" w:hAnsi="Source Sans Pro" w:cs="Arial"/>
                <w:color w:val="000000"/>
                <w:sz w:val="20"/>
                <w:szCs w:val="20"/>
              </w:rPr>
            </w:pPr>
            <w:r w:rsidRPr="009F749A">
              <w:rPr>
                <w:rFonts w:ascii="Source Sans Pro" w:eastAsia="Arial" w:hAnsi="Source Sans Pro" w:cs="Arial"/>
                <w:color w:val="000000"/>
                <w:sz w:val="20"/>
                <w:szCs w:val="20"/>
              </w:rPr>
              <w:t>Amendment to 4.13 (last sentence amended to clarify appeal will be closed)</w:t>
            </w:r>
          </w:p>
        </w:tc>
      </w:tr>
      <w:tr w:rsidR="17E4B3F3" w:rsidRPr="009F749A" w14:paraId="7983E971" w14:textId="77777777" w:rsidTr="17E4B3F3">
        <w:trPr>
          <w:trHeight w:val="300"/>
        </w:trPr>
        <w:tc>
          <w:tcPr>
            <w:tcW w:w="933" w:type="dxa"/>
            <w:tcBorders>
              <w:top w:val="outset" w:sz="6" w:space="0" w:color="auto"/>
              <w:left w:val="outset" w:sz="6" w:space="0" w:color="auto"/>
              <w:bottom w:val="outset" w:sz="6" w:space="0" w:color="auto"/>
              <w:right w:val="outset" w:sz="6" w:space="0" w:color="auto"/>
            </w:tcBorders>
            <w:vAlign w:val="center"/>
          </w:tcPr>
          <w:p w14:paraId="47A705FF" w14:textId="7A4844C2" w:rsidR="20DA8F0D" w:rsidRPr="009F749A" w:rsidRDefault="20DA8F0D" w:rsidP="17E4B3F3">
            <w:pPr>
              <w:rPr>
                <w:rFonts w:ascii="Source Sans Pro" w:eastAsia="Arial" w:hAnsi="Source Sans Pro" w:cs="Arial"/>
                <w:color w:val="000000" w:themeColor="text1"/>
                <w:sz w:val="20"/>
                <w:szCs w:val="20"/>
              </w:rPr>
            </w:pPr>
            <w:r w:rsidRPr="009F749A">
              <w:rPr>
                <w:rFonts w:ascii="Source Sans Pro" w:eastAsia="Arial" w:hAnsi="Source Sans Pro" w:cs="Arial"/>
                <w:color w:val="000000" w:themeColor="text1"/>
                <w:sz w:val="20"/>
                <w:szCs w:val="20"/>
              </w:rPr>
              <w:t>17</w:t>
            </w:r>
          </w:p>
        </w:tc>
        <w:tc>
          <w:tcPr>
            <w:tcW w:w="1521" w:type="dxa"/>
            <w:tcBorders>
              <w:top w:val="outset" w:sz="6" w:space="0" w:color="auto"/>
              <w:left w:val="outset" w:sz="6" w:space="0" w:color="auto"/>
              <w:bottom w:val="outset" w:sz="6" w:space="0" w:color="auto"/>
              <w:right w:val="outset" w:sz="6" w:space="0" w:color="auto"/>
            </w:tcBorders>
            <w:vAlign w:val="center"/>
          </w:tcPr>
          <w:p w14:paraId="7F189519" w14:textId="64215683" w:rsidR="20DA8F0D" w:rsidRPr="009F749A" w:rsidRDefault="20DA8F0D" w:rsidP="17E4B3F3">
            <w:pPr>
              <w:rPr>
                <w:rFonts w:ascii="Source Sans Pro" w:eastAsia="Arial" w:hAnsi="Source Sans Pro" w:cs="Arial"/>
                <w:color w:val="000000" w:themeColor="text1"/>
                <w:sz w:val="20"/>
                <w:szCs w:val="20"/>
              </w:rPr>
            </w:pPr>
            <w:r w:rsidRPr="009F749A">
              <w:rPr>
                <w:rFonts w:ascii="Source Sans Pro" w:eastAsia="Arial" w:hAnsi="Source Sans Pro" w:cs="Arial"/>
                <w:color w:val="000000" w:themeColor="text1"/>
                <w:sz w:val="20"/>
                <w:szCs w:val="20"/>
              </w:rPr>
              <w:t>Academic Board</w:t>
            </w:r>
          </w:p>
        </w:tc>
        <w:tc>
          <w:tcPr>
            <w:tcW w:w="1613" w:type="dxa"/>
            <w:tcBorders>
              <w:top w:val="outset" w:sz="6" w:space="0" w:color="auto"/>
              <w:left w:val="outset" w:sz="6" w:space="0" w:color="auto"/>
              <w:bottom w:val="outset" w:sz="6" w:space="0" w:color="auto"/>
              <w:right w:val="outset" w:sz="6" w:space="0" w:color="auto"/>
            </w:tcBorders>
            <w:vAlign w:val="center"/>
          </w:tcPr>
          <w:p w14:paraId="692F2FB3" w14:textId="4C085BED" w:rsidR="20DA8F0D" w:rsidRPr="009F749A" w:rsidRDefault="20DA8F0D" w:rsidP="17E4B3F3">
            <w:pPr>
              <w:rPr>
                <w:rFonts w:ascii="Source Sans Pro" w:eastAsia="Arial" w:hAnsi="Source Sans Pro" w:cs="Arial"/>
                <w:color w:val="000000" w:themeColor="text1"/>
                <w:sz w:val="20"/>
                <w:szCs w:val="20"/>
              </w:rPr>
            </w:pPr>
            <w:r w:rsidRPr="009F749A">
              <w:rPr>
                <w:rFonts w:ascii="Source Sans Pro" w:eastAsia="Arial" w:hAnsi="Source Sans Pro" w:cs="Arial"/>
                <w:color w:val="000000" w:themeColor="text1"/>
                <w:sz w:val="20"/>
                <w:szCs w:val="20"/>
              </w:rPr>
              <w:t>15 December 2022</w:t>
            </w:r>
          </w:p>
        </w:tc>
        <w:tc>
          <w:tcPr>
            <w:tcW w:w="1613" w:type="dxa"/>
            <w:tcBorders>
              <w:top w:val="outset" w:sz="6" w:space="0" w:color="auto"/>
              <w:left w:val="outset" w:sz="6" w:space="0" w:color="auto"/>
              <w:bottom w:val="outset" w:sz="6" w:space="0" w:color="auto"/>
              <w:right w:val="outset" w:sz="6" w:space="0" w:color="auto"/>
            </w:tcBorders>
            <w:vAlign w:val="center"/>
          </w:tcPr>
          <w:p w14:paraId="23EE8681" w14:textId="4FABC68B" w:rsidR="20DA8F0D" w:rsidRPr="009F749A" w:rsidRDefault="003D6341" w:rsidP="17E4B3F3">
            <w:pPr>
              <w:rPr>
                <w:rFonts w:ascii="Source Sans Pro" w:eastAsia="Arial" w:hAnsi="Source Sans Pro" w:cs="Arial"/>
                <w:color w:val="000000" w:themeColor="text1"/>
                <w:sz w:val="20"/>
                <w:szCs w:val="20"/>
              </w:rPr>
            </w:pPr>
            <w:r>
              <w:rPr>
                <w:rFonts w:ascii="Source Sans Pro" w:eastAsia="Arial" w:hAnsi="Source Sans Pro" w:cs="Arial"/>
                <w:color w:val="000000" w:themeColor="text1"/>
                <w:sz w:val="20"/>
                <w:szCs w:val="20"/>
              </w:rPr>
              <w:t>22 December 2022</w:t>
            </w:r>
          </w:p>
        </w:tc>
        <w:tc>
          <w:tcPr>
            <w:tcW w:w="2944" w:type="dxa"/>
            <w:tcBorders>
              <w:top w:val="outset" w:sz="6" w:space="0" w:color="auto"/>
              <w:left w:val="outset" w:sz="6" w:space="0" w:color="auto"/>
              <w:bottom w:val="outset" w:sz="6" w:space="0" w:color="auto"/>
              <w:right w:val="outset" w:sz="6" w:space="0" w:color="auto"/>
            </w:tcBorders>
            <w:vAlign w:val="center"/>
          </w:tcPr>
          <w:p w14:paraId="343FCE0E" w14:textId="638BCC2D" w:rsidR="20DA8F0D" w:rsidRPr="009F749A" w:rsidRDefault="20DA8F0D" w:rsidP="17E4B3F3">
            <w:pPr>
              <w:rPr>
                <w:rFonts w:ascii="Source Sans Pro" w:eastAsia="Arial" w:hAnsi="Source Sans Pro" w:cs="Arial"/>
                <w:color w:val="000000" w:themeColor="text1"/>
                <w:sz w:val="20"/>
                <w:szCs w:val="20"/>
              </w:rPr>
            </w:pPr>
            <w:r w:rsidRPr="009F749A">
              <w:rPr>
                <w:rFonts w:ascii="Source Sans Pro" w:eastAsia="Arial" w:hAnsi="Source Sans Pro" w:cs="Arial"/>
                <w:color w:val="000000" w:themeColor="text1"/>
                <w:sz w:val="20"/>
                <w:szCs w:val="20"/>
              </w:rPr>
              <w:t xml:space="preserve">Amend references to grievances, academic misconduct and general misconduct to add ‘student’ and align with the </w:t>
            </w:r>
            <w:r w:rsidR="50FD45BF" w:rsidRPr="009F749A">
              <w:rPr>
                <w:rFonts w:ascii="Source Sans Pro" w:eastAsia="Arial" w:hAnsi="Source Sans Pro" w:cs="Arial"/>
                <w:color w:val="000000" w:themeColor="text1"/>
                <w:sz w:val="20"/>
                <w:szCs w:val="20"/>
              </w:rPr>
              <w:t>Academic Board Regulation and Vice Chancellor Regulation.</w:t>
            </w:r>
          </w:p>
          <w:p w14:paraId="2EFB5190" w14:textId="4072EC95" w:rsidR="20DA8F0D" w:rsidRPr="009F749A" w:rsidRDefault="20DA8F0D" w:rsidP="17E4B3F3">
            <w:pPr>
              <w:rPr>
                <w:rFonts w:ascii="Source Sans Pro" w:eastAsia="Arial" w:hAnsi="Source Sans Pro" w:cs="Arial"/>
                <w:color w:val="000000" w:themeColor="text1"/>
                <w:sz w:val="20"/>
                <w:szCs w:val="20"/>
              </w:rPr>
            </w:pPr>
            <w:r w:rsidRPr="009F749A">
              <w:rPr>
                <w:rFonts w:ascii="Source Sans Pro" w:eastAsia="Arial" w:hAnsi="Source Sans Pro" w:cs="Arial"/>
                <w:color w:val="000000" w:themeColor="text1"/>
                <w:sz w:val="20"/>
                <w:szCs w:val="20"/>
              </w:rPr>
              <w:t xml:space="preserve">  </w:t>
            </w:r>
          </w:p>
          <w:p w14:paraId="0962576A" w14:textId="0A9176CF" w:rsidR="20DA8F0D" w:rsidRPr="009F749A" w:rsidRDefault="20DA8F0D" w:rsidP="17E4B3F3">
            <w:pPr>
              <w:rPr>
                <w:rFonts w:ascii="Source Sans Pro" w:eastAsia="Arial" w:hAnsi="Source Sans Pro" w:cs="Arial"/>
                <w:color w:val="000000" w:themeColor="text1"/>
                <w:sz w:val="20"/>
                <w:szCs w:val="20"/>
              </w:rPr>
            </w:pPr>
            <w:r w:rsidRPr="009F749A">
              <w:rPr>
                <w:rFonts w:ascii="Source Sans Pro" w:eastAsia="Arial" w:hAnsi="Source Sans Pro" w:cs="Arial"/>
                <w:color w:val="000000" w:themeColor="text1"/>
                <w:sz w:val="20"/>
                <w:szCs w:val="20"/>
              </w:rPr>
              <w:t xml:space="preserve">Add a limitation at 4.8 to align with the </w:t>
            </w:r>
            <w:r w:rsidR="63ACD6C9" w:rsidRPr="009F749A">
              <w:rPr>
                <w:rFonts w:ascii="Source Sans Pro" w:eastAsia="Arial" w:hAnsi="Source Sans Pro" w:cs="Arial"/>
                <w:color w:val="000000" w:themeColor="text1"/>
                <w:sz w:val="20"/>
                <w:szCs w:val="20"/>
              </w:rPr>
              <w:t>Academic Board Regulation and Vice Chancellor Regulation.</w:t>
            </w:r>
          </w:p>
          <w:p w14:paraId="29719AB4" w14:textId="5AE53FF7" w:rsidR="17E4B3F3" w:rsidRPr="009F749A" w:rsidRDefault="17E4B3F3" w:rsidP="17E4B3F3">
            <w:pPr>
              <w:rPr>
                <w:rFonts w:ascii="Source Sans Pro" w:eastAsia="Arial" w:hAnsi="Source Sans Pro" w:cs="Arial"/>
                <w:color w:val="000000" w:themeColor="text1"/>
                <w:sz w:val="20"/>
                <w:szCs w:val="20"/>
              </w:rPr>
            </w:pPr>
          </w:p>
          <w:p w14:paraId="7F53024A" w14:textId="27A0FE43" w:rsidR="0FA22AF1" w:rsidRPr="009F749A" w:rsidRDefault="0FA22AF1" w:rsidP="17E4B3F3">
            <w:pPr>
              <w:rPr>
                <w:rFonts w:ascii="Source Sans Pro" w:eastAsia="Arial" w:hAnsi="Source Sans Pro" w:cs="Arial"/>
                <w:color w:val="000000" w:themeColor="text1"/>
                <w:sz w:val="20"/>
                <w:szCs w:val="20"/>
              </w:rPr>
            </w:pPr>
            <w:r w:rsidRPr="009F749A">
              <w:rPr>
                <w:rFonts w:ascii="Source Sans Pro" w:eastAsia="Arial" w:hAnsi="Source Sans Pro" w:cs="Arial"/>
                <w:color w:val="000000" w:themeColor="text1"/>
                <w:sz w:val="20"/>
                <w:szCs w:val="20"/>
              </w:rPr>
              <w:t xml:space="preserve">Amendments to the </w:t>
            </w:r>
            <w:r w:rsidRPr="009F749A">
              <w:rPr>
                <w:rFonts w:ascii="Source Sans Pro" w:eastAsia="Arial" w:hAnsi="Source Sans Pro" w:cs="Arial"/>
                <w:i/>
                <w:iCs/>
                <w:color w:val="000000" w:themeColor="text1"/>
                <w:sz w:val="20"/>
                <w:szCs w:val="20"/>
              </w:rPr>
              <w:t>L</w:t>
            </w:r>
            <w:r w:rsidR="20DA8F0D" w:rsidRPr="009F749A">
              <w:rPr>
                <w:rFonts w:ascii="Source Sans Pro" w:eastAsia="Arial" w:hAnsi="Source Sans Pro" w:cs="Arial"/>
                <w:i/>
                <w:iCs/>
                <w:color w:val="000000" w:themeColor="text1"/>
                <w:sz w:val="20"/>
                <w:szCs w:val="20"/>
              </w:rPr>
              <w:t>odgement of Notice of Appeal</w:t>
            </w:r>
            <w:r w:rsidR="20DA8F0D" w:rsidRPr="009F749A">
              <w:rPr>
                <w:rFonts w:ascii="Source Sans Pro" w:eastAsia="Arial" w:hAnsi="Source Sans Pro" w:cs="Arial"/>
                <w:color w:val="000000" w:themeColor="text1"/>
                <w:sz w:val="20"/>
                <w:szCs w:val="20"/>
              </w:rPr>
              <w:t xml:space="preserve"> and </w:t>
            </w:r>
            <w:r w:rsidR="20DA8F0D" w:rsidRPr="009F749A">
              <w:rPr>
                <w:rFonts w:ascii="Source Sans Pro" w:eastAsia="Arial" w:hAnsi="Source Sans Pro" w:cs="Arial"/>
                <w:i/>
                <w:iCs/>
                <w:color w:val="000000" w:themeColor="text1"/>
                <w:sz w:val="20"/>
                <w:szCs w:val="20"/>
              </w:rPr>
              <w:t xml:space="preserve">Consideration of Notice of Appeal </w:t>
            </w:r>
            <w:r w:rsidR="20DA8F0D" w:rsidRPr="009F749A">
              <w:rPr>
                <w:rFonts w:ascii="Source Sans Pro" w:eastAsia="Arial" w:hAnsi="Source Sans Pro" w:cs="Arial"/>
                <w:color w:val="000000" w:themeColor="text1"/>
                <w:sz w:val="20"/>
                <w:szCs w:val="20"/>
              </w:rPr>
              <w:t xml:space="preserve">sections to separate appeals considered by the University Secretary and Academic Secretary, pursuant to the revised </w:t>
            </w:r>
            <w:r w:rsidR="4188CA48" w:rsidRPr="009F749A">
              <w:rPr>
                <w:rFonts w:ascii="Source Sans Pro" w:eastAsia="Arial" w:hAnsi="Source Sans Pro" w:cs="Arial"/>
                <w:color w:val="000000" w:themeColor="text1"/>
                <w:sz w:val="20"/>
                <w:szCs w:val="20"/>
              </w:rPr>
              <w:lastRenderedPageBreak/>
              <w:t>Academic Board Regulation and Vice Chancellor Regulation.</w:t>
            </w:r>
          </w:p>
          <w:p w14:paraId="743CC73B" w14:textId="0CC78F8F" w:rsidR="17E4B3F3" w:rsidRPr="009F749A" w:rsidRDefault="17E4B3F3" w:rsidP="17E4B3F3">
            <w:pPr>
              <w:rPr>
                <w:rFonts w:ascii="Source Sans Pro" w:eastAsia="Arial" w:hAnsi="Source Sans Pro" w:cs="Arial"/>
                <w:color w:val="000000" w:themeColor="text1"/>
                <w:sz w:val="20"/>
                <w:szCs w:val="20"/>
              </w:rPr>
            </w:pPr>
          </w:p>
          <w:p w14:paraId="6351EC1B" w14:textId="416A7E92" w:rsidR="20DA8F0D" w:rsidRPr="009F749A" w:rsidRDefault="20DA8F0D" w:rsidP="17E4B3F3">
            <w:pPr>
              <w:rPr>
                <w:rFonts w:ascii="Source Sans Pro" w:eastAsia="Arial" w:hAnsi="Source Sans Pro" w:cs="Arial"/>
                <w:color w:val="000000" w:themeColor="text1"/>
                <w:sz w:val="20"/>
                <w:szCs w:val="20"/>
              </w:rPr>
            </w:pPr>
            <w:r w:rsidRPr="009F749A">
              <w:rPr>
                <w:rFonts w:ascii="Source Sans Pro" w:eastAsia="Arial" w:hAnsi="Source Sans Pro" w:cs="Arial"/>
                <w:color w:val="000000" w:themeColor="text1"/>
                <w:sz w:val="20"/>
                <w:szCs w:val="20"/>
              </w:rPr>
              <w:t xml:space="preserve">Consequential amendment to appealable decisions (4.2) to remove reference to suspension orders in alignment with the </w:t>
            </w:r>
            <w:r w:rsidR="45FD177E" w:rsidRPr="009F749A">
              <w:rPr>
                <w:rFonts w:ascii="Source Sans Pro" w:eastAsia="Arial" w:hAnsi="Source Sans Pro" w:cs="Arial"/>
                <w:color w:val="000000" w:themeColor="text1"/>
                <w:sz w:val="20"/>
                <w:szCs w:val="20"/>
              </w:rPr>
              <w:t>Academic Board Regulation and Vice Chancellor Regulation.</w:t>
            </w:r>
          </w:p>
          <w:p w14:paraId="36332C0A" w14:textId="0FD41AC1" w:rsidR="17E4B3F3" w:rsidRPr="009F749A" w:rsidRDefault="17E4B3F3" w:rsidP="17E4B3F3">
            <w:pPr>
              <w:rPr>
                <w:rFonts w:ascii="Source Sans Pro" w:eastAsia="Arial" w:hAnsi="Source Sans Pro" w:cs="Arial"/>
                <w:color w:val="000000" w:themeColor="text1"/>
                <w:sz w:val="20"/>
                <w:szCs w:val="20"/>
              </w:rPr>
            </w:pPr>
          </w:p>
          <w:p w14:paraId="694E5548" w14:textId="578385BB" w:rsidR="20DA8F0D" w:rsidRPr="009F749A" w:rsidRDefault="20DA8F0D" w:rsidP="17E4B3F3">
            <w:pPr>
              <w:rPr>
                <w:rFonts w:ascii="Source Sans Pro" w:hAnsi="Source Sans Pro"/>
              </w:rPr>
            </w:pPr>
            <w:r w:rsidRPr="009F749A">
              <w:rPr>
                <w:rFonts w:ascii="Source Sans Pro" w:eastAsia="Arial" w:hAnsi="Source Sans Pro" w:cs="Arial"/>
                <w:color w:val="000000" w:themeColor="text1"/>
                <w:sz w:val="20"/>
                <w:szCs w:val="20"/>
              </w:rPr>
              <w:t xml:space="preserve">Add new clause at 4.10 to align with the review pathway obligations set out in related Academic Board Policies (MPF1295, MPF 1293, MPF 1326 and MPF1062) where an appellant is required to first seek an internal review of the decision prior to submitting a notice of appeal.  </w:t>
            </w:r>
          </w:p>
          <w:p w14:paraId="03CE3825" w14:textId="467511AB" w:rsidR="17E4B3F3" w:rsidRPr="009F749A" w:rsidRDefault="17E4B3F3" w:rsidP="17E4B3F3">
            <w:pPr>
              <w:rPr>
                <w:rFonts w:ascii="Source Sans Pro" w:eastAsia="Arial" w:hAnsi="Source Sans Pro" w:cs="Arial"/>
                <w:color w:val="000000" w:themeColor="text1"/>
                <w:sz w:val="20"/>
                <w:szCs w:val="20"/>
              </w:rPr>
            </w:pPr>
          </w:p>
          <w:p w14:paraId="14276960" w14:textId="540BD44D" w:rsidR="20DA8F0D" w:rsidRPr="009F749A" w:rsidRDefault="20DA8F0D" w:rsidP="17E4B3F3">
            <w:pPr>
              <w:rPr>
                <w:rFonts w:ascii="Source Sans Pro" w:hAnsi="Source Sans Pro"/>
              </w:rPr>
            </w:pPr>
            <w:r w:rsidRPr="009F749A">
              <w:rPr>
                <w:rFonts w:ascii="Source Sans Pro" w:eastAsia="Arial" w:hAnsi="Source Sans Pro" w:cs="Arial"/>
                <w:color w:val="000000" w:themeColor="text1"/>
                <w:sz w:val="20"/>
                <w:szCs w:val="20"/>
              </w:rPr>
              <w:t xml:space="preserve">Amend clauses related to timeframes for assessment of a notice of appeal (refer cl 4.17) </w:t>
            </w:r>
            <w:r w:rsidR="6EF49D89" w:rsidRPr="009F749A">
              <w:rPr>
                <w:rFonts w:ascii="Source Sans Pro" w:eastAsia="Arial" w:hAnsi="Source Sans Pro" w:cs="Arial"/>
                <w:color w:val="000000" w:themeColor="text1"/>
                <w:sz w:val="20"/>
                <w:szCs w:val="20"/>
              </w:rPr>
              <w:t xml:space="preserve">for consistency with the Academic Board Regulation and Vice Chancellor Regulation, and to </w:t>
            </w:r>
            <w:r w:rsidRPr="009F749A">
              <w:rPr>
                <w:rFonts w:ascii="Source Sans Pro" w:eastAsia="Arial" w:hAnsi="Source Sans Pro" w:cs="Arial"/>
                <w:color w:val="000000" w:themeColor="text1"/>
                <w:sz w:val="20"/>
                <w:szCs w:val="20"/>
              </w:rPr>
              <w:t xml:space="preserve">align with Standard 10: Complaints and appeals of the National Code of Practice for Providers of Education and Training to Overseas Students 2018. </w:t>
            </w:r>
          </w:p>
          <w:p w14:paraId="24513988" w14:textId="477F3A47" w:rsidR="17E4B3F3" w:rsidRPr="009F749A" w:rsidRDefault="17E4B3F3" w:rsidP="17E4B3F3">
            <w:pPr>
              <w:rPr>
                <w:rFonts w:ascii="Source Sans Pro" w:eastAsia="Arial" w:hAnsi="Source Sans Pro" w:cs="Arial"/>
                <w:color w:val="000000" w:themeColor="text1"/>
                <w:sz w:val="20"/>
                <w:szCs w:val="20"/>
              </w:rPr>
            </w:pPr>
          </w:p>
          <w:p w14:paraId="5BD05938" w14:textId="67775569" w:rsidR="20DA8F0D" w:rsidRPr="009F749A" w:rsidRDefault="20DA8F0D" w:rsidP="17E4B3F3">
            <w:pPr>
              <w:rPr>
                <w:rFonts w:ascii="Source Sans Pro" w:hAnsi="Source Sans Pro"/>
              </w:rPr>
            </w:pPr>
            <w:r w:rsidRPr="009F749A">
              <w:rPr>
                <w:rFonts w:ascii="Source Sans Pro" w:eastAsia="Arial" w:hAnsi="Source Sans Pro" w:cs="Arial"/>
                <w:color w:val="000000" w:themeColor="text1"/>
                <w:sz w:val="20"/>
                <w:szCs w:val="20"/>
              </w:rPr>
              <w:t xml:space="preserve">Remove the reference at cl 4.17 to Academic Progress Appeals being held on set dates. </w:t>
            </w:r>
          </w:p>
          <w:p w14:paraId="12E09AC9" w14:textId="43324945" w:rsidR="17E4B3F3" w:rsidRPr="009F749A" w:rsidRDefault="17E4B3F3" w:rsidP="17E4B3F3">
            <w:pPr>
              <w:rPr>
                <w:rFonts w:ascii="Source Sans Pro" w:eastAsia="Arial" w:hAnsi="Source Sans Pro" w:cs="Arial"/>
                <w:color w:val="000000" w:themeColor="text1"/>
                <w:sz w:val="20"/>
                <w:szCs w:val="20"/>
              </w:rPr>
            </w:pPr>
          </w:p>
          <w:p w14:paraId="2477D8D3" w14:textId="4A578FED" w:rsidR="20DA8F0D" w:rsidRPr="009F749A" w:rsidRDefault="20DA8F0D" w:rsidP="17E4B3F3">
            <w:pPr>
              <w:rPr>
                <w:rFonts w:ascii="Source Sans Pro" w:eastAsia="Arial" w:hAnsi="Source Sans Pro" w:cs="Arial"/>
                <w:color w:val="000000" w:themeColor="text1"/>
                <w:sz w:val="20"/>
                <w:szCs w:val="20"/>
              </w:rPr>
            </w:pPr>
            <w:r w:rsidRPr="009F749A">
              <w:rPr>
                <w:rFonts w:ascii="Source Sans Pro" w:eastAsia="Arial" w:hAnsi="Source Sans Pro" w:cs="Arial"/>
                <w:color w:val="000000" w:themeColor="text1"/>
                <w:sz w:val="20"/>
                <w:szCs w:val="20"/>
              </w:rPr>
              <w:t xml:space="preserve">Minor </w:t>
            </w:r>
            <w:r w:rsidR="087FF876" w:rsidRPr="009F749A">
              <w:rPr>
                <w:rFonts w:ascii="Source Sans Pro" w:eastAsia="Arial" w:hAnsi="Source Sans Pro" w:cs="Arial"/>
                <w:color w:val="000000" w:themeColor="text1"/>
                <w:sz w:val="20"/>
                <w:szCs w:val="20"/>
              </w:rPr>
              <w:t xml:space="preserve">editorial </w:t>
            </w:r>
            <w:r w:rsidRPr="009F749A">
              <w:rPr>
                <w:rFonts w:ascii="Source Sans Pro" w:eastAsia="Arial" w:hAnsi="Source Sans Pro" w:cs="Arial"/>
                <w:color w:val="000000" w:themeColor="text1"/>
                <w:sz w:val="20"/>
                <w:szCs w:val="20"/>
              </w:rPr>
              <w:t>corrections to other clauses.</w:t>
            </w:r>
          </w:p>
        </w:tc>
      </w:tr>
    </w:tbl>
    <w:p w14:paraId="5E133B00" w14:textId="77777777" w:rsidR="001672CB" w:rsidRDefault="001672CB">
      <w:pPr>
        <w:spacing w:after="160"/>
      </w:pPr>
    </w:p>
    <w:sectPr w:rsidR="001672CB">
      <w:headerReference w:type="even" r:id="rId18"/>
      <w:headerReference w:type="default" r:id="rId19"/>
      <w:footerReference w:type="even" r:id="rId20"/>
      <w:footerReference w:type="default" r:id="rId21"/>
      <w:headerReference w:type="first" r:id="rId22"/>
      <w:footerReference w:type="first" r:id="rId23"/>
      <w:pgSz w:w="12240" w:h="15840"/>
      <w:pgMar w:top="1440" w:right="1800" w:bottom="1440" w:left="1800" w:header="708" w:footer="4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DAB5A" w14:textId="77777777" w:rsidR="001216E2" w:rsidRDefault="001216E2">
      <w:r>
        <w:separator/>
      </w:r>
    </w:p>
  </w:endnote>
  <w:endnote w:type="continuationSeparator" w:id="0">
    <w:p w14:paraId="2969DFCE" w14:textId="77777777" w:rsidR="001216E2" w:rsidRDefault="001216E2">
      <w:r>
        <w:continuationSeparator/>
      </w:r>
    </w:p>
  </w:endnote>
  <w:endnote w:type="continuationNotice" w:id="1">
    <w:p w14:paraId="02A9353A" w14:textId="77777777" w:rsidR="001216E2" w:rsidRDefault="001216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Arial"/>
    <w:charset w:val="00"/>
    <w:family w:val="swiss"/>
    <w:pitch w:val="variable"/>
    <w:sig w:usb0="600002F7" w:usb1="02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B3A44" w14:textId="77777777" w:rsidR="00266918" w:rsidRDefault="002669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895A3" w14:textId="77777777" w:rsidR="001672CB" w:rsidRDefault="00777272">
    <w:pPr>
      <w:jc w:val="right"/>
    </w:pPr>
    <w:r>
      <w:rPr>
        <w:rFonts w:ascii="Arial" w:eastAsia="Arial" w:hAnsi="Arial" w:cs="Arial"/>
        <w:color w:val="000000"/>
        <w:sz w:val="18"/>
      </w:rPr>
      <w:t xml:space="preserve">Page </w:t>
    </w:r>
    <w:r>
      <w:rPr>
        <w:rFonts w:ascii="Arial" w:eastAsia="Arial" w:hAnsi="Arial" w:cs="Arial"/>
        <w:color w:val="000000"/>
        <w:sz w:val="18"/>
        <w:shd w:val="clear" w:color="auto" w:fill="E6E6E6"/>
      </w:rPr>
      <w:fldChar w:fldCharType="begin"/>
    </w:r>
    <w:r>
      <w:rPr>
        <w:rFonts w:ascii="Arial" w:eastAsia="Arial" w:hAnsi="Arial" w:cs="Arial"/>
        <w:color w:val="000000"/>
        <w:sz w:val="18"/>
      </w:rPr>
      <w:instrText>PAGE</w:instrText>
    </w:r>
    <w:r>
      <w:rPr>
        <w:rFonts w:ascii="Arial" w:eastAsia="Arial" w:hAnsi="Arial" w:cs="Arial"/>
        <w:color w:val="000000"/>
        <w:sz w:val="18"/>
        <w:shd w:val="clear" w:color="auto" w:fill="E6E6E6"/>
      </w:rPr>
      <w:fldChar w:fldCharType="separate"/>
    </w:r>
    <w:r w:rsidR="003110D7">
      <w:rPr>
        <w:rFonts w:ascii="Arial" w:eastAsia="Arial" w:hAnsi="Arial" w:cs="Arial"/>
        <w:noProof/>
        <w:color w:val="000000"/>
        <w:sz w:val="18"/>
      </w:rPr>
      <w:t>1</w:t>
    </w:r>
    <w:r>
      <w:rPr>
        <w:rFonts w:ascii="Arial" w:eastAsia="Arial" w:hAnsi="Arial" w:cs="Arial"/>
        <w:color w:val="000000"/>
        <w:sz w:val="18"/>
        <w:shd w:val="clear" w:color="auto" w:fill="E6E6E6"/>
      </w:rPr>
      <w:fldChar w:fldCharType="end"/>
    </w:r>
    <w:r>
      <w:rPr>
        <w:rFonts w:ascii="Arial" w:eastAsia="Arial" w:hAnsi="Arial" w:cs="Arial"/>
        <w:color w:val="000000"/>
        <w:sz w:val="18"/>
      </w:rPr>
      <w:t xml:space="preserve"> of </w:t>
    </w:r>
    <w:r>
      <w:rPr>
        <w:rFonts w:ascii="Arial" w:eastAsia="Arial" w:hAnsi="Arial" w:cs="Arial"/>
        <w:color w:val="000000"/>
        <w:sz w:val="18"/>
        <w:shd w:val="clear" w:color="auto" w:fill="E6E6E6"/>
      </w:rPr>
      <w:fldChar w:fldCharType="begin"/>
    </w:r>
    <w:r>
      <w:rPr>
        <w:rFonts w:ascii="Arial" w:eastAsia="Arial" w:hAnsi="Arial" w:cs="Arial"/>
        <w:color w:val="000000"/>
        <w:sz w:val="18"/>
      </w:rPr>
      <w:instrText>NUMPAGES</w:instrText>
    </w:r>
    <w:r>
      <w:rPr>
        <w:rFonts w:ascii="Arial" w:eastAsia="Arial" w:hAnsi="Arial" w:cs="Arial"/>
        <w:color w:val="000000"/>
        <w:sz w:val="18"/>
        <w:shd w:val="clear" w:color="auto" w:fill="E6E6E6"/>
      </w:rPr>
      <w:fldChar w:fldCharType="separate"/>
    </w:r>
    <w:r w:rsidR="003110D7">
      <w:rPr>
        <w:rFonts w:ascii="Arial" w:eastAsia="Arial" w:hAnsi="Arial" w:cs="Arial"/>
        <w:noProof/>
        <w:color w:val="000000"/>
        <w:sz w:val="18"/>
      </w:rPr>
      <w:t>2</w:t>
    </w:r>
    <w:r>
      <w:rPr>
        <w:rFonts w:ascii="Arial" w:eastAsia="Arial" w:hAnsi="Arial" w:cs="Arial"/>
        <w:color w:val="000000"/>
        <w:sz w:val="18"/>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B623D" w14:textId="77777777" w:rsidR="00266918" w:rsidRDefault="002669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37D0C" w14:textId="77777777" w:rsidR="001216E2" w:rsidRDefault="001216E2">
      <w:r>
        <w:separator/>
      </w:r>
    </w:p>
  </w:footnote>
  <w:footnote w:type="continuationSeparator" w:id="0">
    <w:p w14:paraId="3E6436CC" w14:textId="77777777" w:rsidR="001216E2" w:rsidRDefault="001216E2">
      <w:r>
        <w:continuationSeparator/>
      </w:r>
    </w:p>
  </w:footnote>
  <w:footnote w:type="continuationNotice" w:id="1">
    <w:p w14:paraId="2B2F65F0" w14:textId="77777777" w:rsidR="001216E2" w:rsidRDefault="001216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C9E7B" w14:textId="77777777" w:rsidR="00266918" w:rsidRDefault="002669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C2CE8" w14:textId="77777777" w:rsidR="00266918" w:rsidRDefault="002669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27B09" w14:textId="77777777" w:rsidR="00266918" w:rsidRDefault="00266918">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FcCej3Or" int2:invalidationBookmarkName="" int2:hashCode="cVQy3PML4QQtCl" int2:id="6HRc0qKs">
      <int2:state int2:value="Rejected" int2:type="LegacyProofing"/>
    </int2:bookmark>
    <int2:bookmark int2:bookmarkName="_Int_JIBh018l" int2:invalidationBookmarkName="" int2:hashCode="mGsbweuN6JZDxQ" int2:id="uVZ4BihS">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hybridMultilevel"/>
    <w:tmpl w:val="00000003"/>
    <w:lvl w:ilvl="0" w:tplc="0DFCFE0C">
      <w:start w:val="1"/>
      <w:numFmt w:val="bullet"/>
      <w:lvlText w:val=""/>
      <w:lvlJc w:val="left"/>
      <w:pPr>
        <w:tabs>
          <w:tab w:val="num" w:pos="720"/>
        </w:tabs>
        <w:ind w:left="720" w:hanging="360"/>
      </w:pPr>
      <w:rPr>
        <w:rFonts w:ascii="Symbol" w:hAnsi="Symbol"/>
      </w:rPr>
    </w:lvl>
    <w:lvl w:ilvl="1" w:tplc="D82C8CFC">
      <w:start w:val="1"/>
      <w:numFmt w:val="bullet"/>
      <w:lvlText w:val="o"/>
      <w:lvlJc w:val="left"/>
      <w:pPr>
        <w:tabs>
          <w:tab w:val="num" w:pos="1440"/>
        </w:tabs>
        <w:ind w:left="1440" w:hanging="360"/>
      </w:pPr>
      <w:rPr>
        <w:rFonts w:ascii="Courier New" w:hAnsi="Courier New"/>
      </w:rPr>
    </w:lvl>
    <w:lvl w:ilvl="2" w:tplc="027A8114">
      <w:start w:val="1"/>
      <w:numFmt w:val="bullet"/>
      <w:lvlText w:val=""/>
      <w:lvlJc w:val="left"/>
      <w:pPr>
        <w:tabs>
          <w:tab w:val="num" w:pos="2160"/>
        </w:tabs>
        <w:ind w:left="2160" w:hanging="360"/>
      </w:pPr>
      <w:rPr>
        <w:rFonts w:ascii="Wingdings" w:hAnsi="Wingdings"/>
      </w:rPr>
    </w:lvl>
    <w:lvl w:ilvl="3" w:tplc="82EC29DA">
      <w:start w:val="1"/>
      <w:numFmt w:val="bullet"/>
      <w:lvlText w:val=""/>
      <w:lvlJc w:val="left"/>
      <w:pPr>
        <w:tabs>
          <w:tab w:val="num" w:pos="2880"/>
        </w:tabs>
        <w:ind w:left="2880" w:hanging="360"/>
      </w:pPr>
      <w:rPr>
        <w:rFonts w:ascii="Symbol" w:hAnsi="Symbol"/>
      </w:rPr>
    </w:lvl>
    <w:lvl w:ilvl="4" w:tplc="D3945ABE">
      <w:start w:val="1"/>
      <w:numFmt w:val="bullet"/>
      <w:lvlText w:val="o"/>
      <w:lvlJc w:val="left"/>
      <w:pPr>
        <w:tabs>
          <w:tab w:val="num" w:pos="3600"/>
        </w:tabs>
        <w:ind w:left="3600" w:hanging="360"/>
      </w:pPr>
      <w:rPr>
        <w:rFonts w:ascii="Courier New" w:hAnsi="Courier New"/>
      </w:rPr>
    </w:lvl>
    <w:lvl w:ilvl="5" w:tplc="9A94A224">
      <w:start w:val="1"/>
      <w:numFmt w:val="bullet"/>
      <w:lvlText w:val=""/>
      <w:lvlJc w:val="left"/>
      <w:pPr>
        <w:tabs>
          <w:tab w:val="num" w:pos="4320"/>
        </w:tabs>
        <w:ind w:left="4320" w:hanging="360"/>
      </w:pPr>
      <w:rPr>
        <w:rFonts w:ascii="Wingdings" w:hAnsi="Wingdings"/>
      </w:rPr>
    </w:lvl>
    <w:lvl w:ilvl="6" w:tplc="B2BC72E0">
      <w:start w:val="1"/>
      <w:numFmt w:val="bullet"/>
      <w:lvlText w:val=""/>
      <w:lvlJc w:val="left"/>
      <w:pPr>
        <w:tabs>
          <w:tab w:val="num" w:pos="5040"/>
        </w:tabs>
        <w:ind w:left="5040" w:hanging="360"/>
      </w:pPr>
      <w:rPr>
        <w:rFonts w:ascii="Symbol" w:hAnsi="Symbol"/>
      </w:rPr>
    </w:lvl>
    <w:lvl w:ilvl="7" w:tplc="70086B7A">
      <w:start w:val="1"/>
      <w:numFmt w:val="bullet"/>
      <w:lvlText w:val="o"/>
      <w:lvlJc w:val="left"/>
      <w:pPr>
        <w:tabs>
          <w:tab w:val="num" w:pos="5760"/>
        </w:tabs>
        <w:ind w:left="5760" w:hanging="360"/>
      </w:pPr>
      <w:rPr>
        <w:rFonts w:ascii="Courier New" w:hAnsi="Courier New"/>
      </w:rPr>
    </w:lvl>
    <w:lvl w:ilvl="8" w:tplc="B0E4CDDC">
      <w:start w:val="1"/>
      <w:numFmt w:val="bullet"/>
      <w:lvlText w:val=""/>
      <w:lvlJc w:val="left"/>
      <w:pPr>
        <w:tabs>
          <w:tab w:val="num" w:pos="6480"/>
        </w:tabs>
        <w:ind w:left="6480" w:hanging="360"/>
      </w:pPr>
      <w:rPr>
        <w:rFonts w:ascii="Wingdings" w:hAnsi="Wingdings"/>
      </w:rPr>
    </w:lvl>
  </w:abstractNum>
  <w:abstractNum w:abstractNumId="3" w15:restartNumberingAfterBreak="0">
    <w:nsid w:val="003360EB"/>
    <w:multiLevelType w:val="hybridMultilevel"/>
    <w:tmpl w:val="DCD6A0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4B53BC3"/>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34D407A"/>
    <w:multiLevelType w:val="multilevel"/>
    <w:tmpl w:val="B6EE356A"/>
    <w:lvl w:ilvl="0">
      <w:start w:val="1"/>
      <w:numFmt w:val="decimal"/>
      <w:pStyle w:val="MPLHeading1"/>
      <w:suff w:val="space"/>
      <w:lvlText w:val="%1."/>
      <w:lvlJc w:val="left"/>
      <w:pPr>
        <w:ind w:left="0" w:firstLine="0"/>
      </w:pPr>
      <w:rPr>
        <w:rFonts w:hint="default"/>
      </w:rPr>
    </w:lvl>
    <w:lvl w:ilvl="1">
      <w:start w:val="1"/>
      <w:numFmt w:val="decimal"/>
      <w:pStyle w:val="MPLParagraphlevel1"/>
      <w:suff w:val="space"/>
      <w:lvlText w:val="%1.%2."/>
      <w:lvlJc w:val="left"/>
      <w:pPr>
        <w:ind w:left="357" w:firstLine="3"/>
      </w:pPr>
      <w:rPr>
        <w:rFonts w:hint="default"/>
        <w:b w:val="0"/>
      </w:rPr>
    </w:lvl>
    <w:lvl w:ilvl="2">
      <w:start w:val="1"/>
      <w:numFmt w:val="lowerLetter"/>
      <w:pStyle w:val="MPLParagraphlevel2"/>
      <w:suff w:val="space"/>
      <w:lvlText w:val="%3)"/>
      <w:lvlJc w:val="left"/>
      <w:pPr>
        <w:ind w:left="720" w:firstLine="0"/>
      </w:pPr>
      <w:rPr>
        <w:rFonts w:hint="default"/>
        <w:b w:val="0"/>
        <w:bCs/>
      </w:rPr>
    </w:lvl>
    <w:lvl w:ilvl="3">
      <w:start w:val="1"/>
      <w:numFmt w:val="lowerRoman"/>
      <w:pStyle w:val="MPLParagraphlevel3"/>
      <w:suff w:val="space"/>
      <w:lvlText w:val="%4."/>
      <w:lvlJc w:val="left"/>
      <w:pPr>
        <w:ind w:left="1077" w:firstLine="3"/>
      </w:pPr>
      <w:rPr>
        <w:rFonts w:hint="default"/>
        <w:b w:val="0"/>
        <w:bCs/>
      </w:rPr>
    </w:lvl>
    <w:lvl w:ilvl="4">
      <w:start w:val="1"/>
      <w:numFmt w:val="bullet"/>
      <w:pStyle w:val="MPLParagraphlevel4"/>
      <w:suff w:val="space"/>
      <w:lvlText w:val=""/>
      <w:lvlJc w:val="left"/>
      <w:pPr>
        <w:ind w:left="1440" w:firstLine="0"/>
      </w:pPr>
      <w:rPr>
        <w:rFonts w:ascii="Symbol" w:hAnsi="Symbol"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54B01FD"/>
    <w:multiLevelType w:val="multilevel"/>
    <w:tmpl w:val="6BCCFBEC"/>
    <w:lvl w:ilvl="0">
      <w:start w:val="1"/>
      <w:numFmt w:val="decimal"/>
      <w:lvlText w:val="%1."/>
      <w:lvlJc w:val="left"/>
      <w:pPr>
        <w:ind w:left="360" w:hanging="360"/>
      </w:pPr>
      <w:rPr>
        <w:rFonts w:hint="default"/>
      </w:rPr>
    </w:lvl>
    <w:lvl w:ilvl="1">
      <w:start w:val="1"/>
      <w:numFmt w:val="decimal"/>
      <w:isLgl/>
      <w:lvlText w:val="%1.%2."/>
      <w:lvlJc w:val="left"/>
      <w:pPr>
        <w:ind w:left="390" w:hanging="390"/>
      </w:pPr>
      <w:rPr>
        <w:rFonts w:hint="default"/>
        <w:b w:val="0"/>
        <w:bCs/>
      </w:rPr>
    </w:lvl>
    <w:lvl w:ilvl="2">
      <w:start w:val="1"/>
      <w:numFmt w:val="lowerLetter"/>
      <w:lvlText w:val="%3)"/>
      <w:lvlJc w:val="left"/>
      <w:pPr>
        <w:ind w:left="360" w:hanging="360"/>
      </w:pPr>
      <w:rPr>
        <w:rFonts w:ascii="Arial" w:eastAsia="Arial" w:hAnsi="Arial" w:cs="Arial"/>
        <w:b w:val="0"/>
        <w:b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901912564">
    <w:abstractNumId w:val="0"/>
  </w:num>
  <w:num w:numId="2" w16cid:durableId="569731444">
    <w:abstractNumId w:val="1"/>
  </w:num>
  <w:num w:numId="3" w16cid:durableId="1166633564">
    <w:abstractNumId w:val="2"/>
  </w:num>
  <w:num w:numId="4" w16cid:durableId="537279040">
    <w:abstractNumId w:val="3"/>
  </w:num>
  <w:num w:numId="5" w16cid:durableId="997463891">
    <w:abstractNumId w:val="6"/>
  </w:num>
  <w:num w:numId="6" w16cid:durableId="1864897300">
    <w:abstractNumId w:val="4"/>
  </w:num>
  <w:num w:numId="7" w16cid:durableId="267083873">
    <w:abstractNumId w:val="5"/>
  </w:num>
  <w:num w:numId="8" w16cid:durableId="961695721">
    <w:abstractNumId w:val="5"/>
  </w:num>
  <w:num w:numId="9" w16cid:durableId="1250577629">
    <w:abstractNumId w:val="5"/>
  </w:num>
  <w:num w:numId="10" w16cid:durableId="1231696211">
    <w:abstractNumId w:val="5"/>
  </w:num>
  <w:num w:numId="11" w16cid:durableId="20143355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04D7"/>
    <w:rsid w:val="00001492"/>
    <w:rsid w:val="00003F67"/>
    <w:rsid w:val="0000775E"/>
    <w:rsid w:val="000077E6"/>
    <w:rsid w:val="00017904"/>
    <w:rsid w:val="0002244D"/>
    <w:rsid w:val="00025083"/>
    <w:rsid w:val="00025F89"/>
    <w:rsid w:val="00027652"/>
    <w:rsid w:val="00030C83"/>
    <w:rsid w:val="00032C47"/>
    <w:rsid w:val="000344FB"/>
    <w:rsid w:val="00040260"/>
    <w:rsid w:val="00045755"/>
    <w:rsid w:val="00053E1E"/>
    <w:rsid w:val="00056456"/>
    <w:rsid w:val="000643B7"/>
    <w:rsid w:val="00066C25"/>
    <w:rsid w:val="000719A5"/>
    <w:rsid w:val="000741C4"/>
    <w:rsid w:val="00075A62"/>
    <w:rsid w:val="00080180"/>
    <w:rsid w:val="00082DB1"/>
    <w:rsid w:val="000860F6"/>
    <w:rsid w:val="00087EBB"/>
    <w:rsid w:val="00092153"/>
    <w:rsid w:val="00092598"/>
    <w:rsid w:val="000A2D04"/>
    <w:rsid w:val="000A42C1"/>
    <w:rsid w:val="000A6154"/>
    <w:rsid w:val="000B063E"/>
    <w:rsid w:val="000B14C1"/>
    <w:rsid w:val="000B15C9"/>
    <w:rsid w:val="000B32FB"/>
    <w:rsid w:val="000C38CF"/>
    <w:rsid w:val="000C61B2"/>
    <w:rsid w:val="000C708D"/>
    <w:rsid w:val="000C7DFA"/>
    <w:rsid w:val="000E143D"/>
    <w:rsid w:val="000E5959"/>
    <w:rsid w:val="000E5C8B"/>
    <w:rsid w:val="000E7D21"/>
    <w:rsid w:val="000F032B"/>
    <w:rsid w:val="000F4814"/>
    <w:rsid w:val="000F6E10"/>
    <w:rsid w:val="001039ED"/>
    <w:rsid w:val="001043BE"/>
    <w:rsid w:val="00106DF5"/>
    <w:rsid w:val="00107688"/>
    <w:rsid w:val="001078EE"/>
    <w:rsid w:val="00112467"/>
    <w:rsid w:val="001216E2"/>
    <w:rsid w:val="00123161"/>
    <w:rsid w:val="00124EBD"/>
    <w:rsid w:val="00126492"/>
    <w:rsid w:val="0013320E"/>
    <w:rsid w:val="00137DC8"/>
    <w:rsid w:val="00143A40"/>
    <w:rsid w:val="00145990"/>
    <w:rsid w:val="0015132D"/>
    <w:rsid w:val="001527CB"/>
    <w:rsid w:val="001650B0"/>
    <w:rsid w:val="001672CB"/>
    <w:rsid w:val="00167E9C"/>
    <w:rsid w:val="0017174E"/>
    <w:rsid w:val="00175808"/>
    <w:rsid w:val="00186323"/>
    <w:rsid w:val="00187386"/>
    <w:rsid w:val="00195DF8"/>
    <w:rsid w:val="001A0082"/>
    <w:rsid w:val="001A1494"/>
    <w:rsid w:val="001A2D76"/>
    <w:rsid w:val="001A5B1F"/>
    <w:rsid w:val="001B33C4"/>
    <w:rsid w:val="001B38FF"/>
    <w:rsid w:val="001B6C10"/>
    <w:rsid w:val="001C077D"/>
    <w:rsid w:val="001C7417"/>
    <w:rsid w:val="001D1F9D"/>
    <w:rsid w:val="001E3365"/>
    <w:rsid w:val="001E4FCF"/>
    <w:rsid w:val="001E53A7"/>
    <w:rsid w:val="001E60E0"/>
    <w:rsid w:val="001E6728"/>
    <w:rsid w:val="001F02A3"/>
    <w:rsid w:val="001F049A"/>
    <w:rsid w:val="001F23E7"/>
    <w:rsid w:val="001F2D5C"/>
    <w:rsid w:val="001F4079"/>
    <w:rsid w:val="00200610"/>
    <w:rsid w:val="002015E6"/>
    <w:rsid w:val="002033F7"/>
    <w:rsid w:val="0020691F"/>
    <w:rsid w:val="002103F5"/>
    <w:rsid w:val="00211114"/>
    <w:rsid w:val="002161B7"/>
    <w:rsid w:val="002307E0"/>
    <w:rsid w:val="002314BE"/>
    <w:rsid w:val="0023380A"/>
    <w:rsid w:val="002379BC"/>
    <w:rsid w:val="0024006C"/>
    <w:rsid w:val="00242D58"/>
    <w:rsid w:val="0024476C"/>
    <w:rsid w:val="002447FC"/>
    <w:rsid w:val="00250CEB"/>
    <w:rsid w:val="00252507"/>
    <w:rsid w:val="0025268E"/>
    <w:rsid w:val="00253D2F"/>
    <w:rsid w:val="00255E8A"/>
    <w:rsid w:val="0025650A"/>
    <w:rsid w:val="002647C0"/>
    <w:rsid w:val="002649C0"/>
    <w:rsid w:val="002652D6"/>
    <w:rsid w:val="00266918"/>
    <w:rsid w:val="002677AA"/>
    <w:rsid w:val="0027263E"/>
    <w:rsid w:val="00282414"/>
    <w:rsid w:val="00283ED2"/>
    <w:rsid w:val="0029414A"/>
    <w:rsid w:val="00294875"/>
    <w:rsid w:val="002A20EB"/>
    <w:rsid w:val="002C1CAF"/>
    <w:rsid w:val="002C240E"/>
    <w:rsid w:val="002C317F"/>
    <w:rsid w:val="002C7DDE"/>
    <w:rsid w:val="002D028F"/>
    <w:rsid w:val="002D3D4D"/>
    <w:rsid w:val="002D4E3A"/>
    <w:rsid w:val="002D6731"/>
    <w:rsid w:val="002E0279"/>
    <w:rsid w:val="002F2660"/>
    <w:rsid w:val="002F2BEF"/>
    <w:rsid w:val="00304D6C"/>
    <w:rsid w:val="00305573"/>
    <w:rsid w:val="0030755D"/>
    <w:rsid w:val="0031024C"/>
    <w:rsid w:val="003110D7"/>
    <w:rsid w:val="00311C6D"/>
    <w:rsid w:val="00320C30"/>
    <w:rsid w:val="00325550"/>
    <w:rsid w:val="003275B1"/>
    <w:rsid w:val="003339DB"/>
    <w:rsid w:val="00334A4F"/>
    <w:rsid w:val="00334BA8"/>
    <w:rsid w:val="0034189B"/>
    <w:rsid w:val="003420D0"/>
    <w:rsid w:val="0034337A"/>
    <w:rsid w:val="0034369B"/>
    <w:rsid w:val="0035039E"/>
    <w:rsid w:val="003503A7"/>
    <w:rsid w:val="00351A81"/>
    <w:rsid w:val="0035748B"/>
    <w:rsid w:val="00360AF0"/>
    <w:rsid w:val="003611C3"/>
    <w:rsid w:val="003618B6"/>
    <w:rsid w:val="00373C99"/>
    <w:rsid w:val="00374607"/>
    <w:rsid w:val="003750A7"/>
    <w:rsid w:val="00377315"/>
    <w:rsid w:val="00382573"/>
    <w:rsid w:val="003831CC"/>
    <w:rsid w:val="00384A7B"/>
    <w:rsid w:val="00384C97"/>
    <w:rsid w:val="003867E2"/>
    <w:rsid w:val="00387529"/>
    <w:rsid w:val="003904A4"/>
    <w:rsid w:val="003925E2"/>
    <w:rsid w:val="003926BF"/>
    <w:rsid w:val="00394663"/>
    <w:rsid w:val="00397C06"/>
    <w:rsid w:val="003A027D"/>
    <w:rsid w:val="003A581C"/>
    <w:rsid w:val="003A5C14"/>
    <w:rsid w:val="003A7BA1"/>
    <w:rsid w:val="003B5334"/>
    <w:rsid w:val="003B77D4"/>
    <w:rsid w:val="003C2196"/>
    <w:rsid w:val="003C2A0C"/>
    <w:rsid w:val="003D354B"/>
    <w:rsid w:val="003D5348"/>
    <w:rsid w:val="003D6341"/>
    <w:rsid w:val="003E2AAB"/>
    <w:rsid w:val="003E3C2D"/>
    <w:rsid w:val="003E5024"/>
    <w:rsid w:val="003E6F1E"/>
    <w:rsid w:val="003F0925"/>
    <w:rsid w:val="003F396F"/>
    <w:rsid w:val="003F73D4"/>
    <w:rsid w:val="00403F4C"/>
    <w:rsid w:val="00413877"/>
    <w:rsid w:val="00415F91"/>
    <w:rsid w:val="00422C3C"/>
    <w:rsid w:val="004257D2"/>
    <w:rsid w:val="00425F23"/>
    <w:rsid w:val="00427B8C"/>
    <w:rsid w:val="00433264"/>
    <w:rsid w:val="00434CA7"/>
    <w:rsid w:val="00441645"/>
    <w:rsid w:val="0044287B"/>
    <w:rsid w:val="00454CCD"/>
    <w:rsid w:val="0046196B"/>
    <w:rsid w:val="004642FA"/>
    <w:rsid w:val="00471155"/>
    <w:rsid w:val="00473BF4"/>
    <w:rsid w:val="00481CEA"/>
    <w:rsid w:val="0048495C"/>
    <w:rsid w:val="00491E3D"/>
    <w:rsid w:val="004946DA"/>
    <w:rsid w:val="00496848"/>
    <w:rsid w:val="00497993"/>
    <w:rsid w:val="004A08D5"/>
    <w:rsid w:val="004A422C"/>
    <w:rsid w:val="004A6F0A"/>
    <w:rsid w:val="004A708A"/>
    <w:rsid w:val="004B02AF"/>
    <w:rsid w:val="004B0595"/>
    <w:rsid w:val="004B10F3"/>
    <w:rsid w:val="004B1FD1"/>
    <w:rsid w:val="004C177B"/>
    <w:rsid w:val="004C2579"/>
    <w:rsid w:val="004C5B02"/>
    <w:rsid w:val="004C6AF4"/>
    <w:rsid w:val="004C782D"/>
    <w:rsid w:val="004E3E32"/>
    <w:rsid w:val="004E7C7F"/>
    <w:rsid w:val="004F0BFE"/>
    <w:rsid w:val="004F18E6"/>
    <w:rsid w:val="004F2683"/>
    <w:rsid w:val="004F2867"/>
    <w:rsid w:val="004F5433"/>
    <w:rsid w:val="0050155E"/>
    <w:rsid w:val="00503842"/>
    <w:rsid w:val="00503DB0"/>
    <w:rsid w:val="00506532"/>
    <w:rsid w:val="00511952"/>
    <w:rsid w:val="00511EE7"/>
    <w:rsid w:val="005143F3"/>
    <w:rsid w:val="00516E9F"/>
    <w:rsid w:val="00517BFE"/>
    <w:rsid w:val="005226F7"/>
    <w:rsid w:val="00523402"/>
    <w:rsid w:val="005271C1"/>
    <w:rsid w:val="005309DC"/>
    <w:rsid w:val="005329ED"/>
    <w:rsid w:val="00532B37"/>
    <w:rsid w:val="00532BD1"/>
    <w:rsid w:val="00535CC2"/>
    <w:rsid w:val="00536474"/>
    <w:rsid w:val="00541D41"/>
    <w:rsid w:val="00542C75"/>
    <w:rsid w:val="00547122"/>
    <w:rsid w:val="00550062"/>
    <w:rsid w:val="00552246"/>
    <w:rsid w:val="00556E57"/>
    <w:rsid w:val="00560082"/>
    <w:rsid w:val="0056037F"/>
    <w:rsid w:val="00562F21"/>
    <w:rsid w:val="00573186"/>
    <w:rsid w:val="0057388B"/>
    <w:rsid w:val="00582BD7"/>
    <w:rsid w:val="00583AD6"/>
    <w:rsid w:val="0058480A"/>
    <w:rsid w:val="005859F5"/>
    <w:rsid w:val="00586956"/>
    <w:rsid w:val="00593A2F"/>
    <w:rsid w:val="0059654A"/>
    <w:rsid w:val="00596F73"/>
    <w:rsid w:val="005A1201"/>
    <w:rsid w:val="005A3C44"/>
    <w:rsid w:val="005A761B"/>
    <w:rsid w:val="005B2AD1"/>
    <w:rsid w:val="005C1486"/>
    <w:rsid w:val="005C326D"/>
    <w:rsid w:val="005C35DB"/>
    <w:rsid w:val="005C60ED"/>
    <w:rsid w:val="005C72A6"/>
    <w:rsid w:val="005D3882"/>
    <w:rsid w:val="005D4B9D"/>
    <w:rsid w:val="005D584B"/>
    <w:rsid w:val="005E6CE0"/>
    <w:rsid w:val="005F08EF"/>
    <w:rsid w:val="00601F00"/>
    <w:rsid w:val="006053A2"/>
    <w:rsid w:val="00605F1A"/>
    <w:rsid w:val="00613CB4"/>
    <w:rsid w:val="00616176"/>
    <w:rsid w:val="006172D4"/>
    <w:rsid w:val="00624DB7"/>
    <w:rsid w:val="00632CBD"/>
    <w:rsid w:val="006338E0"/>
    <w:rsid w:val="00633AA3"/>
    <w:rsid w:val="00634FBB"/>
    <w:rsid w:val="00641AA6"/>
    <w:rsid w:val="006455A4"/>
    <w:rsid w:val="006465A5"/>
    <w:rsid w:val="00651C7F"/>
    <w:rsid w:val="0065502D"/>
    <w:rsid w:val="00655326"/>
    <w:rsid w:val="00657508"/>
    <w:rsid w:val="00660689"/>
    <w:rsid w:val="0066094F"/>
    <w:rsid w:val="00662E6B"/>
    <w:rsid w:val="006671B2"/>
    <w:rsid w:val="0067112B"/>
    <w:rsid w:val="00673738"/>
    <w:rsid w:val="00673C80"/>
    <w:rsid w:val="00675599"/>
    <w:rsid w:val="00677A97"/>
    <w:rsid w:val="006901F3"/>
    <w:rsid w:val="00696CB6"/>
    <w:rsid w:val="006A03CD"/>
    <w:rsid w:val="006A105D"/>
    <w:rsid w:val="006A6BB0"/>
    <w:rsid w:val="006B32D5"/>
    <w:rsid w:val="006C1CF0"/>
    <w:rsid w:val="006C20C7"/>
    <w:rsid w:val="006C5FDD"/>
    <w:rsid w:val="006C6B5C"/>
    <w:rsid w:val="006C6CA5"/>
    <w:rsid w:val="006D25C6"/>
    <w:rsid w:val="006D4B68"/>
    <w:rsid w:val="006E097D"/>
    <w:rsid w:val="006E099C"/>
    <w:rsid w:val="006E5979"/>
    <w:rsid w:val="006E6BCE"/>
    <w:rsid w:val="006F0746"/>
    <w:rsid w:val="006F1F4A"/>
    <w:rsid w:val="006F713C"/>
    <w:rsid w:val="006F7EA2"/>
    <w:rsid w:val="00700734"/>
    <w:rsid w:val="00705372"/>
    <w:rsid w:val="00706F78"/>
    <w:rsid w:val="007112BB"/>
    <w:rsid w:val="00722C2C"/>
    <w:rsid w:val="0072326F"/>
    <w:rsid w:val="00723423"/>
    <w:rsid w:val="00724FFD"/>
    <w:rsid w:val="00725400"/>
    <w:rsid w:val="007254EC"/>
    <w:rsid w:val="007318BA"/>
    <w:rsid w:val="007325AA"/>
    <w:rsid w:val="00735316"/>
    <w:rsid w:val="007405E9"/>
    <w:rsid w:val="00742795"/>
    <w:rsid w:val="00746781"/>
    <w:rsid w:val="007649CF"/>
    <w:rsid w:val="00765CC9"/>
    <w:rsid w:val="0077262E"/>
    <w:rsid w:val="007727C1"/>
    <w:rsid w:val="0077418D"/>
    <w:rsid w:val="00775844"/>
    <w:rsid w:val="00775ACD"/>
    <w:rsid w:val="00777272"/>
    <w:rsid w:val="00777518"/>
    <w:rsid w:val="00777827"/>
    <w:rsid w:val="00782E1A"/>
    <w:rsid w:val="0078785B"/>
    <w:rsid w:val="00787EF5"/>
    <w:rsid w:val="00791307"/>
    <w:rsid w:val="007973FA"/>
    <w:rsid w:val="007A40E8"/>
    <w:rsid w:val="007A6C43"/>
    <w:rsid w:val="007B018B"/>
    <w:rsid w:val="007B1862"/>
    <w:rsid w:val="007B6105"/>
    <w:rsid w:val="007B7E65"/>
    <w:rsid w:val="007C0CEE"/>
    <w:rsid w:val="007C115A"/>
    <w:rsid w:val="007D0F22"/>
    <w:rsid w:val="007D155B"/>
    <w:rsid w:val="007D1A7B"/>
    <w:rsid w:val="007D21D7"/>
    <w:rsid w:val="007D2BE8"/>
    <w:rsid w:val="007E1121"/>
    <w:rsid w:val="007E1470"/>
    <w:rsid w:val="007E3558"/>
    <w:rsid w:val="007E6A87"/>
    <w:rsid w:val="007F33BE"/>
    <w:rsid w:val="007F585B"/>
    <w:rsid w:val="007F5919"/>
    <w:rsid w:val="007F616F"/>
    <w:rsid w:val="008007C4"/>
    <w:rsid w:val="00800DB6"/>
    <w:rsid w:val="0080502A"/>
    <w:rsid w:val="00806F6C"/>
    <w:rsid w:val="00810657"/>
    <w:rsid w:val="00815CEB"/>
    <w:rsid w:val="00821BBB"/>
    <w:rsid w:val="00821FF3"/>
    <w:rsid w:val="00823A52"/>
    <w:rsid w:val="00826DB3"/>
    <w:rsid w:val="00827C73"/>
    <w:rsid w:val="008339D9"/>
    <w:rsid w:val="00833D7E"/>
    <w:rsid w:val="0083505C"/>
    <w:rsid w:val="00836492"/>
    <w:rsid w:val="00837840"/>
    <w:rsid w:val="00842CA6"/>
    <w:rsid w:val="0084326D"/>
    <w:rsid w:val="008452FD"/>
    <w:rsid w:val="00846622"/>
    <w:rsid w:val="00852586"/>
    <w:rsid w:val="008562D2"/>
    <w:rsid w:val="008571A1"/>
    <w:rsid w:val="008623E3"/>
    <w:rsid w:val="00862A98"/>
    <w:rsid w:val="0086556A"/>
    <w:rsid w:val="00867ADF"/>
    <w:rsid w:val="0087487C"/>
    <w:rsid w:val="008756EC"/>
    <w:rsid w:val="008865D6"/>
    <w:rsid w:val="00887AB4"/>
    <w:rsid w:val="00887CF1"/>
    <w:rsid w:val="008905A9"/>
    <w:rsid w:val="00892852"/>
    <w:rsid w:val="00894840"/>
    <w:rsid w:val="0089659A"/>
    <w:rsid w:val="008A16FE"/>
    <w:rsid w:val="008A2C40"/>
    <w:rsid w:val="008A35A4"/>
    <w:rsid w:val="008B1B4C"/>
    <w:rsid w:val="008C19EB"/>
    <w:rsid w:val="008C3CAB"/>
    <w:rsid w:val="008C5508"/>
    <w:rsid w:val="008D4B60"/>
    <w:rsid w:val="008E1C52"/>
    <w:rsid w:val="008E4938"/>
    <w:rsid w:val="008E7B02"/>
    <w:rsid w:val="008F4B9E"/>
    <w:rsid w:val="008F791C"/>
    <w:rsid w:val="00903503"/>
    <w:rsid w:val="00905C3D"/>
    <w:rsid w:val="009062C7"/>
    <w:rsid w:val="00907422"/>
    <w:rsid w:val="009122BF"/>
    <w:rsid w:val="00913E8F"/>
    <w:rsid w:val="0091416D"/>
    <w:rsid w:val="00914C92"/>
    <w:rsid w:val="00914FA1"/>
    <w:rsid w:val="0091502C"/>
    <w:rsid w:val="009174C6"/>
    <w:rsid w:val="00924120"/>
    <w:rsid w:val="00930868"/>
    <w:rsid w:val="00933C6E"/>
    <w:rsid w:val="00934DC8"/>
    <w:rsid w:val="009359D1"/>
    <w:rsid w:val="009368AF"/>
    <w:rsid w:val="00936EBB"/>
    <w:rsid w:val="00941808"/>
    <w:rsid w:val="00942B25"/>
    <w:rsid w:val="009434E4"/>
    <w:rsid w:val="00945C1E"/>
    <w:rsid w:val="00947AE6"/>
    <w:rsid w:val="00950F94"/>
    <w:rsid w:val="00956391"/>
    <w:rsid w:val="00967D19"/>
    <w:rsid w:val="00972CAA"/>
    <w:rsid w:val="0098714D"/>
    <w:rsid w:val="00990B6F"/>
    <w:rsid w:val="00992931"/>
    <w:rsid w:val="00994465"/>
    <w:rsid w:val="00994D52"/>
    <w:rsid w:val="009A115F"/>
    <w:rsid w:val="009A69DF"/>
    <w:rsid w:val="009B122F"/>
    <w:rsid w:val="009B2BA4"/>
    <w:rsid w:val="009B4F02"/>
    <w:rsid w:val="009C1541"/>
    <w:rsid w:val="009C50C1"/>
    <w:rsid w:val="009C6669"/>
    <w:rsid w:val="009D10CD"/>
    <w:rsid w:val="009D57A2"/>
    <w:rsid w:val="009E08F9"/>
    <w:rsid w:val="009E66EF"/>
    <w:rsid w:val="009F3036"/>
    <w:rsid w:val="009F4287"/>
    <w:rsid w:val="009F6535"/>
    <w:rsid w:val="009F749A"/>
    <w:rsid w:val="00A00D58"/>
    <w:rsid w:val="00A00DAC"/>
    <w:rsid w:val="00A01B97"/>
    <w:rsid w:val="00A028E6"/>
    <w:rsid w:val="00A13919"/>
    <w:rsid w:val="00A22D28"/>
    <w:rsid w:val="00A24D47"/>
    <w:rsid w:val="00A24D58"/>
    <w:rsid w:val="00A32ED5"/>
    <w:rsid w:val="00A33A72"/>
    <w:rsid w:val="00A358EE"/>
    <w:rsid w:val="00A36FCE"/>
    <w:rsid w:val="00A4082F"/>
    <w:rsid w:val="00A41588"/>
    <w:rsid w:val="00A4584A"/>
    <w:rsid w:val="00A463A8"/>
    <w:rsid w:val="00A50061"/>
    <w:rsid w:val="00A5690C"/>
    <w:rsid w:val="00A56BA9"/>
    <w:rsid w:val="00A602C4"/>
    <w:rsid w:val="00A62B0D"/>
    <w:rsid w:val="00A75F47"/>
    <w:rsid w:val="00A77B3E"/>
    <w:rsid w:val="00A862CF"/>
    <w:rsid w:val="00A864D4"/>
    <w:rsid w:val="00A90457"/>
    <w:rsid w:val="00A90DBD"/>
    <w:rsid w:val="00A95C24"/>
    <w:rsid w:val="00A965AD"/>
    <w:rsid w:val="00AA49D8"/>
    <w:rsid w:val="00AA56CD"/>
    <w:rsid w:val="00AA7785"/>
    <w:rsid w:val="00AB4239"/>
    <w:rsid w:val="00AC2B92"/>
    <w:rsid w:val="00AD6CB0"/>
    <w:rsid w:val="00AE11DC"/>
    <w:rsid w:val="00AE12F4"/>
    <w:rsid w:val="00AE3853"/>
    <w:rsid w:val="00AE5F05"/>
    <w:rsid w:val="00AF410C"/>
    <w:rsid w:val="00AF45A0"/>
    <w:rsid w:val="00AF74E7"/>
    <w:rsid w:val="00B0212B"/>
    <w:rsid w:val="00B0295E"/>
    <w:rsid w:val="00B107E9"/>
    <w:rsid w:val="00B15D34"/>
    <w:rsid w:val="00B325F0"/>
    <w:rsid w:val="00B4079D"/>
    <w:rsid w:val="00B45779"/>
    <w:rsid w:val="00B459ED"/>
    <w:rsid w:val="00B6009E"/>
    <w:rsid w:val="00B603EB"/>
    <w:rsid w:val="00B60E8F"/>
    <w:rsid w:val="00B62317"/>
    <w:rsid w:val="00B6378B"/>
    <w:rsid w:val="00B666B4"/>
    <w:rsid w:val="00B70222"/>
    <w:rsid w:val="00B7291D"/>
    <w:rsid w:val="00B8063C"/>
    <w:rsid w:val="00B822C4"/>
    <w:rsid w:val="00B8390E"/>
    <w:rsid w:val="00B85999"/>
    <w:rsid w:val="00B94A13"/>
    <w:rsid w:val="00B9583B"/>
    <w:rsid w:val="00B9709A"/>
    <w:rsid w:val="00BA11ED"/>
    <w:rsid w:val="00BB307B"/>
    <w:rsid w:val="00BB4B6C"/>
    <w:rsid w:val="00BB57B5"/>
    <w:rsid w:val="00BB7F84"/>
    <w:rsid w:val="00BC514A"/>
    <w:rsid w:val="00BC59A8"/>
    <w:rsid w:val="00BC7603"/>
    <w:rsid w:val="00BD1960"/>
    <w:rsid w:val="00BD4373"/>
    <w:rsid w:val="00BE0DBC"/>
    <w:rsid w:val="00BE6E27"/>
    <w:rsid w:val="00BF60F6"/>
    <w:rsid w:val="00BF7DEC"/>
    <w:rsid w:val="00BF7FC5"/>
    <w:rsid w:val="00C007E5"/>
    <w:rsid w:val="00C03093"/>
    <w:rsid w:val="00C03A06"/>
    <w:rsid w:val="00C03F67"/>
    <w:rsid w:val="00C050E9"/>
    <w:rsid w:val="00C07AA4"/>
    <w:rsid w:val="00C120F1"/>
    <w:rsid w:val="00C12D74"/>
    <w:rsid w:val="00C1548F"/>
    <w:rsid w:val="00C2369D"/>
    <w:rsid w:val="00C275CC"/>
    <w:rsid w:val="00C27AD9"/>
    <w:rsid w:val="00C334A4"/>
    <w:rsid w:val="00C33629"/>
    <w:rsid w:val="00C3597D"/>
    <w:rsid w:val="00C40D86"/>
    <w:rsid w:val="00C42CA7"/>
    <w:rsid w:val="00C47D4A"/>
    <w:rsid w:val="00C51A0B"/>
    <w:rsid w:val="00C56C47"/>
    <w:rsid w:val="00C67941"/>
    <w:rsid w:val="00C7481B"/>
    <w:rsid w:val="00C80655"/>
    <w:rsid w:val="00C80E8B"/>
    <w:rsid w:val="00C824D9"/>
    <w:rsid w:val="00C8304B"/>
    <w:rsid w:val="00C83626"/>
    <w:rsid w:val="00C85D80"/>
    <w:rsid w:val="00C865F7"/>
    <w:rsid w:val="00C87AAC"/>
    <w:rsid w:val="00CA4007"/>
    <w:rsid w:val="00CB1F2E"/>
    <w:rsid w:val="00CB2BD1"/>
    <w:rsid w:val="00CB5216"/>
    <w:rsid w:val="00CB7E25"/>
    <w:rsid w:val="00CC16EF"/>
    <w:rsid w:val="00CC45C8"/>
    <w:rsid w:val="00CC5A35"/>
    <w:rsid w:val="00CD668B"/>
    <w:rsid w:val="00CE23A9"/>
    <w:rsid w:val="00CE2BDE"/>
    <w:rsid w:val="00CE5425"/>
    <w:rsid w:val="00CF2E16"/>
    <w:rsid w:val="00CF40E5"/>
    <w:rsid w:val="00CF4A16"/>
    <w:rsid w:val="00CF6EAD"/>
    <w:rsid w:val="00CF7640"/>
    <w:rsid w:val="00D023B9"/>
    <w:rsid w:val="00D04EBA"/>
    <w:rsid w:val="00D0604A"/>
    <w:rsid w:val="00D06438"/>
    <w:rsid w:val="00D1104F"/>
    <w:rsid w:val="00D11DF1"/>
    <w:rsid w:val="00D12064"/>
    <w:rsid w:val="00D13588"/>
    <w:rsid w:val="00D20015"/>
    <w:rsid w:val="00D22D08"/>
    <w:rsid w:val="00D23144"/>
    <w:rsid w:val="00D247E5"/>
    <w:rsid w:val="00D31779"/>
    <w:rsid w:val="00D3463E"/>
    <w:rsid w:val="00D364F5"/>
    <w:rsid w:val="00D4483C"/>
    <w:rsid w:val="00D50AB4"/>
    <w:rsid w:val="00D52022"/>
    <w:rsid w:val="00D5496F"/>
    <w:rsid w:val="00D6125F"/>
    <w:rsid w:val="00D67920"/>
    <w:rsid w:val="00D72623"/>
    <w:rsid w:val="00D73DCE"/>
    <w:rsid w:val="00D76E6A"/>
    <w:rsid w:val="00D81A4F"/>
    <w:rsid w:val="00D833A9"/>
    <w:rsid w:val="00D8376B"/>
    <w:rsid w:val="00D92FE5"/>
    <w:rsid w:val="00D97CD2"/>
    <w:rsid w:val="00DA4306"/>
    <w:rsid w:val="00DA443E"/>
    <w:rsid w:val="00DA7EDC"/>
    <w:rsid w:val="00DB3C9B"/>
    <w:rsid w:val="00DC15EB"/>
    <w:rsid w:val="00DC4D46"/>
    <w:rsid w:val="00DF2559"/>
    <w:rsid w:val="00DF630F"/>
    <w:rsid w:val="00E00A4C"/>
    <w:rsid w:val="00E02EBB"/>
    <w:rsid w:val="00E0623B"/>
    <w:rsid w:val="00E0681D"/>
    <w:rsid w:val="00E06F8C"/>
    <w:rsid w:val="00E106D2"/>
    <w:rsid w:val="00E138A5"/>
    <w:rsid w:val="00E15EDC"/>
    <w:rsid w:val="00E160FD"/>
    <w:rsid w:val="00E16257"/>
    <w:rsid w:val="00E16C26"/>
    <w:rsid w:val="00E2447A"/>
    <w:rsid w:val="00E26592"/>
    <w:rsid w:val="00E26A60"/>
    <w:rsid w:val="00E316AD"/>
    <w:rsid w:val="00E319C3"/>
    <w:rsid w:val="00E3485F"/>
    <w:rsid w:val="00E3765B"/>
    <w:rsid w:val="00E44EDC"/>
    <w:rsid w:val="00E45FA2"/>
    <w:rsid w:val="00E4693D"/>
    <w:rsid w:val="00E53387"/>
    <w:rsid w:val="00E53F3C"/>
    <w:rsid w:val="00E5451D"/>
    <w:rsid w:val="00E547BC"/>
    <w:rsid w:val="00E61DF1"/>
    <w:rsid w:val="00E648FF"/>
    <w:rsid w:val="00E674F0"/>
    <w:rsid w:val="00E722C3"/>
    <w:rsid w:val="00E808EF"/>
    <w:rsid w:val="00E819B6"/>
    <w:rsid w:val="00E81FD4"/>
    <w:rsid w:val="00E84951"/>
    <w:rsid w:val="00E90528"/>
    <w:rsid w:val="00EA0F70"/>
    <w:rsid w:val="00EA1CE9"/>
    <w:rsid w:val="00EA3C25"/>
    <w:rsid w:val="00EA783C"/>
    <w:rsid w:val="00EB7746"/>
    <w:rsid w:val="00EC75DA"/>
    <w:rsid w:val="00ED13E8"/>
    <w:rsid w:val="00ED15E7"/>
    <w:rsid w:val="00ED5C32"/>
    <w:rsid w:val="00EE23C9"/>
    <w:rsid w:val="00EE3963"/>
    <w:rsid w:val="00EE3E63"/>
    <w:rsid w:val="00EE4591"/>
    <w:rsid w:val="00EE6AF3"/>
    <w:rsid w:val="00EE71E9"/>
    <w:rsid w:val="00EE7A9E"/>
    <w:rsid w:val="00EF29EF"/>
    <w:rsid w:val="00EF735C"/>
    <w:rsid w:val="00F005DE"/>
    <w:rsid w:val="00F06D31"/>
    <w:rsid w:val="00F06FC3"/>
    <w:rsid w:val="00F11CAD"/>
    <w:rsid w:val="00F1405B"/>
    <w:rsid w:val="00F14703"/>
    <w:rsid w:val="00F162D3"/>
    <w:rsid w:val="00F20A36"/>
    <w:rsid w:val="00F21DA3"/>
    <w:rsid w:val="00F25B8B"/>
    <w:rsid w:val="00F33B9C"/>
    <w:rsid w:val="00F35567"/>
    <w:rsid w:val="00F35FA2"/>
    <w:rsid w:val="00F440D7"/>
    <w:rsid w:val="00F52EB3"/>
    <w:rsid w:val="00F5392E"/>
    <w:rsid w:val="00F545F2"/>
    <w:rsid w:val="00F55B43"/>
    <w:rsid w:val="00F63AAF"/>
    <w:rsid w:val="00F67762"/>
    <w:rsid w:val="00F703AE"/>
    <w:rsid w:val="00F72C40"/>
    <w:rsid w:val="00F73137"/>
    <w:rsid w:val="00F761CE"/>
    <w:rsid w:val="00F7703C"/>
    <w:rsid w:val="00F9020B"/>
    <w:rsid w:val="00F93DCA"/>
    <w:rsid w:val="00F956F3"/>
    <w:rsid w:val="00F95B45"/>
    <w:rsid w:val="00F96804"/>
    <w:rsid w:val="00F97869"/>
    <w:rsid w:val="00FA1884"/>
    <w:rsid w:val="00FA35BC"/>
    <w:rsid w:val="00FA4072"/>
    <w:rsid w:val="00FA45F7"/>
    <w:rsid w:val="00FA4861"/>
    <w:rsid w:val="00FB3F5A"/>
    <w:rsid w:val="00FB6677"/>
    <w:rsid w:val="00FB745D"/>
    <w:rsid w:val="00FB7AF1"/>
    <w:rsid w:val="00FC4FEF"/>
    <w:rsid w:val="00FC62F4"/>
    <w:rsid w:val="00FD03BB"/>
    <w:rsid w:val="00FD1B7F"/>
    <w:rsid w:val="00FD2923"/>
    <w:rsid w:val="00FE1D30"/>
    <w:rsid w:val="00FF22F7"/>
    <w:rsid w:val="00FF2CD6"/>
    <w:rsid w:val="00FF7561"/>
    <w:rsid w:val="02A7FE16"/>
    <w:rsid w:val="032797FB"/>
    <w:rsid w:val="033B76AE"/>
    <w:rsid w:val="0346181A"/>
    <w:rsid w:val="034CFF81"/>
    <w:rsid w:val="042E0357"/>
    <w:rsid w:val="062E0B7F"/>
    <w:rsid w:val="087FF876"/>
    <w:rsid w:val="08AD0BE7"/>
    <w:rsid w:val="0B463290"/>
    <w:rsid w:val="0C482EE1"/>
    <w:rsid w:val="0CFDE26F"/>
    <w:rsid w:val="0EA09E7D"/>
    <w:rsid w:val="0FA22AF1"/>
    <w:rsid w:val="12306FB1"/>
    <w:rsid w:val="12347D2B"/>
    <w:rsid w:val="1293427D"/>
    <w:rsid w:val="156C1DED"/>
    <w:rsid w:val="16F71670"/>
    <w:rsid w:val="1707EE4E"/>
    <w:rsid w:val="179F2B82"/>
    <w:rsid w:val="17E4B3F3"/>
    <w:rsid w:val="18D050FE"/>
    <w:rsid w:val="19AE9F0E"/>
    <w:rsid w:val="19D36AEE"/>
    <w:rsid w:val="19E2FA86"/>
    <w:rsid w:val="1A07FDFA"/>
    <w:rsid w:val="1A9B7692"/>
    <w:rsid w:val="1C18E5AB"/>
    <w:rsid w:val="1CF406A9"/>
    <w:rsid w:val="1EFA187F"/>
    <w:rsid w:val="1F416850"/>
    <w:rsid w:val="20DA8F0D"/>
    <w:rsid w:val="23AEE040"/>
    <w:rsid w:val="24E1D2DF"/>
    <w:rsid w:val="2540BD37"/>
    <w:rsid w:val="25736792"/>
    <w:rsid w:val="27EE295C"/>
    <w:rsid w:val="288D9C26"/>
    <w:rsid w:val="292858ED"/>
    <w:rsid w:val="29E2144B"/>
    <w:rsid w:val="2AC4294E"/>
    <w:rsid w:val="2B6AFCB6"/>
    <w:rsid w:val="2D837CCF"/>
    <w:rsid w:val="2DEFF25A"/>
    <w:rsid w:val="2DFBCA10"/>
    <w:rsid w:val="2EABC504"/>
    <w:rsid w:val="2F17E926"/>
    <w:rsid w:val="2F8BC2BB"/>
    <w:rsid w:val="308479A3"/>
    <w:rsid w:val="3167FDDE"/>
    <w:rsid w:val="318F277F"/>
    <w:rsid w:val="339013E0"/>
    <w:rsid w:val="33EFC6A3"/>
    <w:rsid w:val="34BE0759"/>
    <w:rsid w:val="35E159DF"/>
    <w:rsid w:val="36ABCBAE"/>
    <w:rsid w:val="375AFA27"/>
    <w:rsid w:val="37B8DF5B"/>
    <w:rsid w:val="37D73F62"/>
    <w:rsid w:val="388A9793"/>
    <w:rsid w:val="39DF546D"/>
    <w:rsid w:val="3A2667F4"/>
    <w:rsid w:val="3AEE510A"/>
    <w:rsid w:val="3BB3A9B9"/>
    <w:rsid w:val="3F20C39A"/>
    <w:rsid w:val="3FA66928"/>
    <w:rsid w:val="3FE3E458"/>
    <w:rsid w:val="3FEEF5B7"/>
    <w:rsid w:val="40215E81"/>
    <w:rsid w:val="404D8B5B"/>
    <w:rsid w:val="4188CA48"/>
    <w:rsid w:val="41B3A428"/>
    <w:rsid w:val="4220F932"/>
    <w:rsid w:val="43852C1D"/>
    <w:rsid w:val="449FDD67"/>
    <w:rsid w:val="44D2F0B0"/>
    <w:rsid w:val="45039558"/>
    <w:rsid w:val="45A2BB65"/>
    <w:rsid w:val="45A3F335"/>
    <w:rsid w:val="45D159F9"/>
    <w:rsid w:val="45FD177E"/>
    <w:rsid w:val="4619158F"/>
    <w:rsid w:val="46BC6B11"/>
    <w:rsid w:val="46C4BA65"/>
    <w:rsid w:val="493337D6"/>
    <w:rsid w:val="4AE1F892"/>
    <w:rsid w:val="4AE83094"/>
    <w:rsid w:val="4B98F169"/>
    <w:rsid w:val="4BCC153D"/>
    <w:rsid w:val="4E2616DC"/>
    <w:rsid w:val="4ECFCC4A"/>
    <w:rsid w:val="5001278D"/>
    <w:rsid w:val="50FD45BF"/>
    <w:rsid w:val="535CD80A"/>
    <w:rsid w:val="543DA147"/>
    <w:rsid w:val="54527F84"/>
    <w:rsid w:val="56567BBE"/>
    <w:rsid w:val="56DADE2F"/>
    <w:rsid w:val="577FB71D"/>
    <w:rsid w:val="5853843F"/>
    <w:rsid w:val="58A6A4B7"/>
    <w:rsid w:val="58F17322"/>
    <w:rsid w:val="59636349"/>
    <w:rsid w:val="5982F9BE"/>
    <w:rsid w:val="59B1373E"/>
    <w:rsid w:val="5CD5FBFA"/>
    <w:rsid w:val="5DAEF92D"/>
    <w:rsid w:val="5DB98035"/>
    <w:rsid w:val="5F4171FC"/>
    <w:rsid w:val="5F60A1B8"/>
    <w:rsid w:val="602CE2C2"/>
    <w:rsid w:val="60C2649F"/>
    <w:rsid w:val="610CD67B"/>
    <w:rsid w:val="6117ECAD"/>
    <w:rsid w:val="627B157A"/>
    <w:rsid w:val="62F82B6C"/>
    <w:rsid w:val="63500BD4"/>
    <w:rsid w:val="6352E30B"/>
    <w:rsid w:val="63ACD6C9"/>
    <w:rsid w:val="643A2F32"/>
    <w:rsid w:val="6493FBCD"/>
    <w:rsid w:val="6613CAB6"/>
    <w:rsid w:val="66A67930"/>
    <w:rsid w:val="673792DE"/>
    <w:rsid w:val="68D3633F"/>
    <w:rsid w:val="6907B639"/>
    <w:rsid w:val="69676CF0"/>
    <w:rsid w:val="6A0295A5"/>
    <w:rsid w:val="6C85E555"/>
    <w:rsid w:val="6CB0E6A2"/>
    <w:rsid w:val="6E9A7F7B"/>
    <w:rsid w:val="6EF49D89"/>
    <w:rsid w:val="6F225D9D"/>
    <w:rsid w:val="71ABC65A"/>
    <w:rsid w:val="7289ECC5"/>
    <w:rsid w:val="733CC2F3"/>
    <w:rsid w:val="73AB71AF"/>
    <w:rsid w:val="7425BD26"/>
    <w:rsid w:val="7435FBDE"/>
    <w:rsid w:val="745BBAA5"/>
    <w:rsid w:val="750115DF"/>
    <w:rsid w:val="75CB59B6"/>
    <w:rsid w:val="76536E32"/>
    <w:rsid w:val="777DD59D"/>
    <w:rsid w:val="77C897FC"/>
    <w:rsid w:val="7AAA1C45"/>
    <w:rsid w:val="7C000592"/>
    <w:rsid w:val="7C3C19CE"/>
    <w:rsid w:val="7EDECB18"/>
  </w:rsids>
  <m:mathPr>
    <m:mathFont m:val="Cambria Math"/>
    <m:brkBin m:val="before"/>
    <m:brkBinSub m:val="--"/>
    <m:smallFrac m:val="0"/>
    <m:dispDef/>
    <m:lMargin m:val="0"/>
    <m:rMargin m:val="0"/>
    <m:defJc m:val="centerGroup"/>
    <m:wrapRight/>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4B0336"/>
  <w15:chartTrackingRefBased/>
  <w15:docId w15:val="{1D2BDD40-E9E2-47D8-940B-3E6FD96C1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Source Sans Pro" w:hAnsi="Source Sans Pro"/>
      <w:sz w:val="20"/>
      <w:szCs w:val="24"/>
    </w:rPr>
  </w:style>
  <w:style w:type="paragraph" w:styleId="Heading1">
    <w:name w:val="heading 1"/>
    <w:pPr>
      <w:spacing w:after="240"/>
      <w:outlineLvl w:val="0"/>
    </w:pPr>
    <w:rPr>
      <w:rFonts w:ascii="Arial" w:eastAsia="Arial" w:hAnsi="Arial" w:cs="Arial" w:asciiTheme="Source Sans Pro"/>
      <w:b/>
      <w:color w:val="000F46"/>
      <w:sz w:val="32"/>
    </w:rPr>
  </w:style>
  <w:style w:type="paragraph" w:styleId="Heading2">
    <w:name w:val="heading 2"/>
    <w:pPr>
      <w:spacing w:after="160"/>
      <w:outlineLvl w:val="1"/>
    </w:pPr>
    <w:rPr>
      <w:rFonts w:ascii="Arial" w:eastAsia="Arial" w:hAnsi="Arial" w:cs="Arial" w:asciiTheme="Source Sans Pro"/>
      <w:b/>
      <w:color w:val="000F46"/>
      <w:sz w:val="28"/>
    </w:rPr>
  </w:style>
  <w:style w:type="paragraph" w:styleId="Heading3">
    <w:name w:val="heading 3"/>
    <w:pPr>
      <w:spacing w:after="160"/>
      <w:outlineLvl w:val="2"/>
    </w:pPr>
    <w:rPr>
      <w:rFonts w:ascii="Arial" w:eastAsia="Arial" w:hAnsi="Arial" w:cs="Arial" w:asciiTheme="Source Sans Pro"/>
      <w:b/>
      <w:color w:val="000F46"/>
      <w:sz w:val="24"/>
    </w:rPr>
  </w:style>
  <w:style w:type="paragraph" w:styleId="Heading4">
    <w:name w:val="heading 4"/>
    <w:pPr>
      <w:spacing w:after="60"/>
      <w:outlineLvl w:val="3"/>
    </w:pPr>
    <w:rPr>
      <w:rFonts w:ascii="Arial" w:eastAsia="Arial" w:hAnsi="Arial" w:cs="Arial" w:asciiTheme="Source Sans Pro"/>
      <w:b/>
      <w:color w:val="000F46"/>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C27AD9"/>
    <w:rPr>
      <w:sz w:val="24"/>
      <w:szCs w:val="24"/>
    </w:rPr>
  </w:style>
  <w:style w:type="character" w:styleId="CommentReference">
    <w:name w:val="annotation reference"/>
    <w:basedOn w:val="DefaultParagraphFont"/>
    <w:rsid w:val="00D8376B"/>
    <w:rPr>
      <w:sz w:val="16"/>
      <w:szCs w:val="16"/>
    </w:rPr>
  </w:style>
  <w:style w:type="paragraph" w:styleId="CommentText">
    <w:name w:val="annotation text"/>
    <w:basedOn w:val="Normal"/>
    <w:link w:val="CommentTextChar"/>
    <w:rsid w:val="00D8376B"/>
    <w:rPr>
      <w:sz w:val="20"/>
      <w:szCs w:val="20"/>
    </w:rPr>
  </w:style>
  <w:style w:type="character" w:customStyle="1" w:styleId="CommentTextChar">
    <w:name w:val="Comment Text Char"/>
    <w:basedOn w:val="DefaultParagraphFont"/>
    <w:link w:val="CommentText"/>
    <w:rsid w:val="00D8376B"/>
  </w:style>
  <w:style w:type="paragraph" w:styleId="CommentSubject">
    <w:name w:val="annotation subject"/>
    <w:basedOn w:val="CommentText"/>
    <w:next w:val="CommentText"/>
    <w:link w:val="CommentSubjectChar"/>
    <w:rsid w:val="00D8376B"/>
    <w:rPr>
      <w:b/>
      <w:bCs/>
    </w:rPr>
  </w:style>
  <w:style w:type="character" w:customStyle="1" w:styleId="CommentSubjectChar">
    <w:name w:val="Comment Subject Char"/>
    <w:basedOn w:val="CommentTextChar"/>
    <w:link w:val="CommentSubject"/>
    <w:rsid w:val="00D8376B"/>
    <w:rPr>
      <w:b/>
      <w:bCs/>
    </w:rPr>
  </w:style>
  <w:style w:type="paragraph" w:styleId="Header">
    <w:name w:val="header"/>
    <w:basedOn w:val="Normal"/>
    <w:link w:val="HeaderChar"/>
    <w:rsid w:val="00266918"/>
    <w:pPr>
      <w:tabs>
        <w:tab w:val="center" w:pos="4680"/>
        <w:tab w:val="right" w:pos="9360"/>
      </w:tabs>
    </w:pPr>
  </w:style>
  <w:style w:type="character" w:customStyle="1" w:styleId="HeaderChar">
    <w:name w:val="Header Char"/>
    <w:basedOn w:val="DefaultParagraphFont"/>
    <w:link w:val="Header"/>
    <w:rsid w:val="00266918"/>
    <w:rPr>
      <w:sz w:val="24"/>
      <w:szCs w:val="24"/>
    </w:rPr>
  </w:style>
  <w:style w:type="paragraph" w:styleId="Footer">
    <w:name w:val="footer"/>
    <w:basedOn w:val="Normal"/>
    <w:link w:val="FooterChar"/>
    <w:rsid w:val="00266918"/>
    <w:pPr>
      <w:tabs>
        <w:tab w:val="center" w:pos="4680"/>
        <w:tab w:val="right" w:pos="9360"/>
      </w:tabs>
    </w:pPr>
  </w:style>
  <w:style w:type="character" w:customStyle="1" w:styleId="FooterChar">
    <w:name w:val="Footer Char"/>
    <w:basedOn w:val="DefaultParagraphFont"/>
    <w:link w:val="Footer"/>
    <w:rsid w:val="00266918"/>
    <w:rPr>
      <w:sz w:val="24"/>
      <w:szCs w:val="24"/>
    </w:rPr>
  </w:style>
  <w:style w:type="character" w:styleId="Mention">
    <w:name w:val="Mention"/>
    <w:basedOn w:val="DefaultParagraphFont"/>
    <w:uiPriority w:val="99"/>
    <w:unhideWhenUsed/>
    <w:rPr>
      <w:color w:val="2B579A"/>
      <w:shd w:val="clear" w:color="auto" w:fill="E6E6E6"/>
    </w:rPr>
  </w:style>
  <w:style w:type="paragraph" w:styleId="ListParagraph">
    <w:name w:val="List Paragraph"/>
    <w:basedOn w:val="Normal"/>
    <w:uiPriority w:val="34"/>
    <w:qFormat/>
    <w:rsid w:val="00D12064"/>
    <w:pPr>
      <w:ind w:left="720"/>
      <w:contextualSpacing/>
    </w:pPr>
  </w:style>
  <w:style w:type="character" w:customStyle="1" w:styleId="normaltextrun">
    <w:name w:val="normaltextrun"/>
    <w:basedOn w:val="DefaultParagraphFont"/>
    <w:rsid w:val="00200610"/>
  </w:style>
  <w:style w:type="character" w:styleId="Hyperlink">
    <w:name w:val="Hyperlink"/>
    <w:basedOn w:val="DefaultParagraphFont"/>
    <w:rsid w:val="002C317F"/>
    <w:rPr>
      <w:color w:val="0563C1" w:themeColor="hyperlink"/>
      <w:u w:val="single"/>
    </w:rPr>
  </w:style>
  <w:style w:type="character" w:styleId="UnresolvedMention">
    <w:name w:val="Unresolved Mention"/>
    <w:basedOn w:val="DefaultParagraphFont"/>
    <w:uiPriority w:val="99"/>
    <w:semiHidden/>
    <w:unhideWhenUsed/>
    <w:rsid w:val="002C317F"/>
    <w:rPr>
      <w:color w:val="605E5C"/>
      <w:shd w:val="clear" w:color="auto" w:fill="E1DFDD"/>
    </w:rPr>
  </w:style>
  <w:style w:type="paragraph" w:customStyle="1" w:styleId="pf0">
    <w:name w:val="pf0"/>
    <w:basedOn w:val="Normal"/>
    <w:rsid w:val="0059654A"/>
    <w:pPr>
      <w:spacing w:before="100" w:beforeAutospacing="1" w:after="100" w:afterAutospacing="1"/>
    </w:pPr>
  </w:style>
  <w:style w:type="character" w:customStyle="1" w:styleId="cf01">
    <w:name w:val="cf01"/>
    <w:basedOn w:val="DefaultParagraphFont"/>
    <w:rsid w:val="0059654A"/>
    <w:rPr>
      <w:rFonts w:ascii="Segoe UI" w:hAnsi="Segoe UI" w:cs="Segoe UI" w:hint="default"/>
      <w:sz w:val="18"/>
      <w:szCs w:val="18"/>
    </w:rPr>
  </w:style>
  <w:style w:type="character" w:customStyle="1" w:styleId="cf11">
    <w:name w:val="cf11"/>
    <w:basedOn w:val="DefaultParagraphFont"/>
    <w:rsid w:val="0059654A"/>
    <w:rPr>
      <w:rFonts w:ascii="Segoe UI" w:hAnsi="Segoe UI" w:cs="Segoe UI" w:hint="default"/>
      <w:color w:val="2B579A"/>
      <w:sz w:val="18"/>
      <w:szCs w:val="18"/>
      <w:shd w:val="clear" w:color="auto" w:fill="E1DFDD"/>
    </w:rPr>
  </w:style>
  <w:style w:type="paragraph" w:customStyle="1" w:styleId="MPFSubheading">
    <w:name w:val="MPF Subheading"/>
    <w:basedOn w:val="Heading3"/>
    <w:qFormat/>
    <w:rsid w:val="006465A5"/>
    <w:pPr>
      <w:keepNext/>
      <w:keepLines/>
      <w:spacing w:before="200" w:afterLines="50" w:after="120" w:line="276" w:lineRule="auto"/>
    </w:pPr>
    <w:rPr>
      <w:rFonts w:ascii="Source Sans Pro" w:eastAsiaTheme="majorEastAsia" w:hAnsi="Source Sans Pro" w:asciiTheme="Source Sans Pro"/>
      <w:bCs/>
      <w:color w:val="000F46"/>
      <w:sz w:val="28"/>
      <w:szCs w:val="22"/>
      <w:lang w:val="en-US" w:eastAsia="en-US"/>
    </w:rPr>
  </w:style>
  <w:style w:type="paragraph" w:customStyle="1" w:styleId="MPLHeading1">
    <w:name w:val="MPL Heading 1"/>
    <w:basedOn w:val="Heading2"/>
    <w:qFormat/>
    <w:rsid w:val="006465A5"/>
    <w:pPr>
      <w:keepNext/>
      <w:keepLines/>
      <w:numPr>
        <w:numId w:val="11"/>
      </w:numPr>
      <w:spacing w:before="200" w:afterLines="50" w:after="120" w:line="276" w:lineRule="auto"/>
    </w:pPr>
    <w:rPr>
      <w:rFonts w:ascii="Source Sans Pro" w:eastAsiaTheme="majorEastAsia" w:hAnsi="Source Sans Pro" w:asciiTheme="Source Sans Pro"/>
      <w:bCs/>
      <w:color w:val="000F46"/>
      <w:sz w:val="32"/>
      <w:szCs w:val="26"/>
      <w:lang w:val="en-US" w:eastAsia="en-US"/>
    </w:rPr>
  </w:style>
  <w:style w:type="paragraph" w:customStyle="1" w:styleId="MPLNoNumberingHeadings">
    <w:name w:val="MPL No Numbering Headings"/>
    <w:basedOn w:val="Heading2"/>
    <w:qFormat/>
    <w:rsid w:val="006465A5"/>
    <w:pPr>
      <w:keepNext/>
      <w:keepLines/>
      <w:spacing w:before="200" w:after="0" w:line="276" w:lineRule="auto"/>
    </w:pPr>
    <w:rPr>
      <w:rFonts w:ascii="Source Sans Pro" w:eastAsiaTheme="majorEastAsia" w:hAnsi="Source Sans Pro" w:asciiTheme="Source Sans Pro"/>
      <w:bCs/>
      <w:color w:val="000F46"/>
      <w:sz w:val="32"/>
      <w:szCs w:val="26"/>
      <w:lang w:val="en-US" w:eastAsia="en-US"/>
    </w:rPr>
  </w:style>
  <w:style w:type="paragraph" w:customStyle="1" w:styleId="MPLParagraphlevel1">
    <w:name w:val="MPL Paragraph level 1"/>
    <w:basedOn w:val="ListParagraph"/>
    <w:qFormat/>
    <w:rsid w:val="006465A5"/>
    <w:pPr>
      <w:numPr>
        <w:ilvl w:val="1"/>
        <w:numId w:val="11"/>
      </w:numPr>
      <w:spacing w:afterLines="50" w:after="120" w:line="276" w:lineRule="auto"/>
      <w:contextualSpacing w:val="0"/>
    </w:pPr>
    <w:rPr>
      <w:rFonts w:ascii="Source Sans Pro" w:eastAsiaTheme="minorEastAsia" w:hAnsi="Source Sans Pro" w:cs="Arial" w:asciiTheme="Source Sans Pro"/>
      <w:sz w:val="20"/>
      <w:szCs w:val="22"/>
      <w:lang w:val="en-US" w:eastAsia="en-US"/>
    </w:rPr>
  </w:style>
  <w:style w:type="paragraph" w:customStyle="1" w:styleId="MPLParagraphlevel2">
    <w:name w:val="MPL Paragraph level 2"/>
    <w:basedOn w:val="ListParagraph"/>
    <w:qFormat/>
    <w:rsid w:val="006465A5"/>
    <w:pPr>
      <w:numPr>
        <w:ilvl w:val="2"/>
        <w:numId w:val="11"/>
      </w:numPr>
      <w:spacing w:after="200" w:line="276" w:lineRule="auto"/>
    </w:pPr>
    <w:rPr>
      <w:rFonts w:ascii="Source Sans Pro" w:eastAsiaTheme="minorEastAsia" w:hAnsi="Source Sans Pro" w:cs="Arial" w:asciiTheme="Source Sans Pro"/>
      <w:sz w:val="20"/>
      <w:szCs w:val="22"/>
      <w:lang w:val="en-US" w:eastAsia="en-US"/>
    </w:rPr>
  </w:style>
  <w:style w:type="paragraph" w:customStyle="1" w:styleId="MPLParagraphlevel3">
    <w:name w:val="MPL Paragraph level 3"/>
    <w:basedOn w:val="ListParagraph"/>
    <w:qFormat/>
    <w:rsid w:val="006465A5"/>
    <w:pPr>
      <w:numPr>
        <w:ilvl w:val="3"/>
        <w:numId w:val="11"/>
      </w:numPr>
      <w:spacing w:before="120" w:after="120" w:line="276" w:lineRule="auto"/>
    </w:pPr>
    <w:rPr>
      <w:rFonts w:ascii="Source Sans Pro" w:eastAsiaTheme="minorEastAsia" w:hAnsi="Source Sans Pro" w:cs="Arial" w:asciiTheme="Source Sans Pro"/>
      <w:sz w:val="20"/>
      <w:szCs w:val="22"/>
      <w:lang w:val="en-US" w:eastAsia="en-US"/>
    </w:rPr>
  </w:style>
  <w:style w:type="paragraph" w:customStyle="1" w:styleId="MPLParagraphlevel4">
    <w:name w:val="MPL Paragraph level 4"/>
    <w:basedOn w:val="ListParagraph"/>
    <w:qFormat/>
    <w:rsid w:val="006465A5"/>
    <w:pPr>
      <w:numPr>
        <w:ilvl w:val="4"/>
        <w:numId w:val="11"/>
      </w:numPr>
      <w:spacing w:afterLines="50" w:after="120" w:line="276" w:lineRule="auto"/>
    </w:pPr>
    <w:rPr>
      <w:rFonts w:ascii="Source Sans Pro" w:eastAsiaTheme="minorEastAsia" w:hAnsi="Source Sans Pro" w:cs="Arial" w:asciiTheme="Source Sans Pro"/>
      <w:sz w:val="20"/>
      <w:szCs w:val="22"/>
      <w:lang w:val="en-US" w:eastAsia="en-US"/>
    </w:rPr>
  </w:style>
  <w:style w:type="paragraph" w:customStyle="1" w:styleId="MPLParapgrah">
    <w:name w:val="MPL Parapgrah"/>
    <w:basedOn w:val="Normal"/>
    <w:qFormat/>
    <w:rsid w:val="006465A5"/>
    <w:pPr>
      <w:spacing w:after="200" w:line="276" w:lineRule="auto"/>
    </w:pPr>
    <w:rPr>
      <w:rFonts w:ascii="Source Sans Pro" w:eastAsiaTheme="minorEastAsia" w:hAnsi="Source Sans Pro" w:cs="Arial"/>
      <w:sz w:val="2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455642">
      <w:bodyDiv w:val="1"/>
      <w:marLeft w:val="0"/>
      <w:marRight w:val="0"/>
      <w:marTop w:val="0"/>
      <w:marBottom w:val="0"/>
      <w:divBdr>
        <w:top w:val="none" w:sz="0" w:space="0" w:color="auto"/>
        <w:left w:val="none" w:sz="0" w:space="0" w:color="auto"/>
        <w:bottom w:val="none" w:sz="0" w:space="0" w:color="auto"/>
        <w:right w:val="none" w:sz="0" w:space="0" w:color="auto"/>
      </w:divBdr>
    </w:div>
    <w:div w:id="1777945239">
      <w:bodyDiv w:val="1"/>
      <w:marLeft w:val="0"/>
      <w:marRight w:val="0"/>
      <w:marTop w:val="0"/>
      <w:marBottom w:val="0"/>
      <w:divBdr>
        <w:top w:val="none" w:sz="0" w:space="0" w:color="auto"/>
        <w:left w:val="none" w:sz="0" w:space="0" w:color="auto"/>
        <w:bottom w:val="none" w:sz="0" w:space="0" w:color="auto"/>
        <w:right w:val="none" w:sz="0" w:space="0" w:color="auto"/>
      </w:divBdr>
    </w:div>
    <w:div w:id="2080637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bout.unimelb.edu.au/strategy/governance/peak-bodies-structures/academic-board/student-appeals" TargetMode="External"/><Relationship Id="rId18" Type="http://schemas.openxmlformats.org/officeDocument/2006/relationships/header" Target="header1.xml"/><Relationship Id="rId26" Type="http://schemas.microsoft.com/office/2019/05/relationships/documenttasks" Target="documenttasks/documenttasks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policy.unimelb.edu.au/MPF1062/" TargetMode="External"/><Relationship Id="rId17" Type="http://schemas.openxmlformats.org/officeDocument/2006/relationships/hyperlink" Target="http://about.unimelb.edu.au/academicboard"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olicy.unimelb.edu.au/MPF1363/"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licy.unimelb.edu.au/MPF1326/"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policy.unimelb.edu.au/MPF1291/" TargetMode="External"/><Relationship Id="rId23" Type="http://schemas.openxmlformats.org/officeDocument/2006/relationships/footer" Target="footer3.xml"/><Relationship Id="rId10" Type="http://schemas.openxmlformats.org/officeDocument/2006/relationships/hyperlink" Target="https://policy.unimelb.edu.au/MPF1293/"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s://policy.unimelb.edu.au/MPF1295/" TargetMode="External"/><Relationship Id="rId14" Type="http://schemas.openxmlformats.org/officeDocument/2006/relationships/hyperlink" Target="bookmark://_If_the_notice/" TargetMode="External"/><Relationship Id="rId22" Type="http://schemas.openxmlformats.org/officeDocument/2006/relationships/header" Target="header3.xml"/><Relationship Id="rId27" Type="http://schemas.microsoft.com/office/2020/10/relationships/intelligence" Target="intelligence2.xml"/><Relationship Id="rId28" Type="http://schemas.openxmlformats.org/officeDocument/2006/relationships/hyperlink" Target="https://policy.unimelb.edu.au/category/Student Management and Support/" TargetMode="External"/><Relationship Id="rId29" Type="http://schemas.openxmlformats.org/officeDocument/2006/relationships/hyperlink" Target="https://au.promapp.com/unimelb/Process/Group/ b706391a-45fc-485c-9a92-f353c6d8c94c" TargetMode="External"/></Relationships>
</file>

<file path=word/documenttasks/documenttasks1.xml><?xml version="1.0" encoding="utf-8"?>
<t:Tasks xmlns:t="http://schemas.microsoft.com/office/tasks/2019/documenttasks" xmlns:oel="http://schemas.microsoft.com/office/2019/extlst">
  <t:Task id="{D19FC76E-2D95-46F9-9BBE-40009C79BE4D}">
    <t:Anchor>
      <t:Comment id="643065804"/>
    </t:Anchor>
    <t:History>
      <t:Event id="{48A38019-6F6E-4C8E-B202-6ED78FBA21E7}" time="2022-08-08T23:50:17.121Z">
        <t:Attribution userId="S::rosy.peake@unimelb.edu.au::a796cf64-2adf-4691-b629-829a137e1abd" userProvider="AD" userName="Rosy Peake"/>
        <t:Anchor>
          <t:Comment id="1289076899"/>
        </t:Anchor>
        <t:Create/>
      </t:Event>
      <t:Event id="{2DA014C6-8BAE-4C54-918A-67C4F20BA352}" time="2022-08-08T23:50:17.121Z">
        <t:Attribution userId="S::rosy.peake@unimelb.edu.au::a796cf64-2adf-4691-b629-829a137e1abd" userProvider="AD" userName="Rosy Peake"/>
        <t:Anchor>
          <t:Comment id="1289076899"/>
        </t:Anchor>
        <t:Assign userId="S::gabrielle.ostberg@unimelb.edu.au::247ce349-8133-4a13-983e-7c58c4128cb3" userProvider="AD" userName="Gabrielle Ostberg"/>
      </t:Event>
      <t:Event id="{3976666B-800F-43F0-A1AB-2EE7B5DF0D92}" time="2022-08-08T23:50:17.121Z">
        <t:Attribution userId="S::rosy.peake@unimelb.edu.au::a796cf64-2adf-4691-b629-829a137e1abd" userProvider="AD" userName="Rosy Peake"/>
        <t:Anchor>
          <t:Comment id="1289076899"/>
        </t:Anchor>
        <t:SetTitle title="@Gabrielle Ostberg, just noting Peter's comment above. That clause in the related policy references a limitation on matters of academic judgement. It is feasible that a student would appeal the outcome of a thesis/project examination for a student in a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C82B9CF-B5CE-478A-96A8-7C5E6BA9FA8A}">
  <ds:schemaRefs>
    <ds:schemaRef ds:uri="http://schemas.openxmlformats.org/officeDocument/2006/bibliography"/>
  </ds:schemaRefs>
</ds:datastoreItem>
</file>

<file path=customXml/itemProps2.xml><?xml version="1.0" encoding="utf-8"?>
<ds:datastoreItem xmlns:ds="http://schemas.openxmlformats.org/officeDocument/2006/customXml" ds:itemID="{33344CAD-4F43-4928-BB3F-DC19E950A812}">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12</Pages>
  <Words>3966</Words>
  <Characters>22612</Characters>
  <Application>Microsoft Office Word</Application>
  <DocSecurity>0</DocSecurity>
  <Lines>188</Lines>
  <Paragraphs>53</Paragraphs>
  <ScaleCrop>false</ScaleCrop>
  <Company/>
  <LinksUpToDate>false</LinksUpToDate>
  <CharactersWithSpaces>26525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Andrews</dc:creator>
  <cp:keywords/>
  <cp:lastModifiedBy>Gabbie Hepworth</cp:lastModifiedBy>
  <cp:revision>39</cp:revision>
  <cp:lastPrinted>2022-11-29T03:20:00Z</cp:lastPrinted>
  <dcterms:created xsi:type="dcterms:W3CDTF">2022-12-21T22:32:00Z</dcterms:created>
  <dcterms:modified xsi:type="dcterms:W3CDTF">2022-12-22T05:32:00Z</dcterms:modified>
</cp:coreProperties>
</file>