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Graduate Research Training Policy (MPF1321)</w:t>
      </w:r>
    </w:p>
    <w:p>
      <w:r/>
    </w:p>
    <w:p>
      <w:r>
        <w:rPr>
          <w:rFonts w:ascii="Source Sans Pro" w:hAnsi="Source Sans Pro"/>
          <w:b/>
          <w:sz w:val="20"/>
        </w:rPr>
        <w:t xml:space="preserve">Category: </w:t>
      </w:r>
      <w:r/>
      <w:hyperlink r:id="rId46">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29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March, 2023</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02 May, 2023</w:t>
        <w:br/>
      </w:r>
      <w:r>
        <w:rPr>
          <w:rFonts w:ascii="Source Sans Pro" w:hAnsi="Source Sans Pro"/>
          <w:b/>
          <w:sz w:val="20"/>
        </w:rPr>
        <w:t xml:space="preserve">Review due by: </w:t>
      </w:r>
      <w:r>
        <w:rPr>
          <w:rFonts w:ascii="Source Sans Pro" w:hAnsi="Source Sans Pro"/>
          <w:sz w:val="20"/>
        </w:rPr>
        <w:t>22 October,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r>
        <w:br/>
      </w:r>
      <w:hyperlink r:id="rId47">
        <w:r>
          <w:rPr>
            <w:color w:val="0000FF"/>
            <w:u w:val="single"/>
          </w:rPr>
          <w:t>Research and Research Training Processes</w:t>
        </w:r>
      </w:hyperlink>
      <w:r/>
      <w:r>
        <w:br/>
      </w:r>
    </w:p>
    <w:p w14:paraId="17E1AF02" w14:textId="4F3A7490" w:rsidR="007740BE" w:rsidRDefault="00F324A2" w:rsidP="00CE17BB">
      <w:pPr>
        <w:pStyle w:val="Heading1"/>
      </w:pPr>
      <w:r>
        <w:t>Graduate Research Training Policy (MPF1321)</w:t>
      </w:r>
      <w:r>
        <w:br/>
      </w:r>
    </w:p>
    <w:p w14:paraId="112DDB44" w14:textId="77777777" w:rsidR="00964C26" w:rsidRDefault="009F0C94" w:rsidP="009F309C">
      <w:pPr>
        <w:pStyle w:val="MPLHeading1"/>
      </w:pPr>
      <w:r>
        <w:t>Objective</w:t>
      </w:r>
    </w:p>
    <w:p w14:paraId="27417222" w14:textId="77777777" w:rsidR="00964C26" w:rsidRDefault="009F0C94" w:rsidP="009F309C">
      <w:pPr>
        <w:pStyle w:val="MPLParagraphlevel1"/>
      </w:pPr>
      <w:r>
        <w:t xml:space="preserve">The </w:t>
      </w:r>
      <w:r w:rsidRPr="009F309C">
        <w:t>objectives</w:t>
      </w:r>
      <w:r>
        <w:t xml:space="preserve"> of this policy are to:</w:t>
      </w:r>
    </w:p>
    <w:p w14:paraId="14C43F32" w14:textId="77777777" w:rsidR="00964C26" w:rsidRDefault="009F0C94" w:rsidP="009F309C">
      <w:pPr>
        <w:pStyle w:val="MPLParagraphlevel2"/>
        <w:rPr>
          <w:rFonts w:eastAsia="Arial"/>
        </w:rPr>
      </w:pPr>
      <w:r>
        <w:rPr>
          <w:rFonts w:eastAsia="Arial"/>
        </w:rPr>
        <w:t>provide the framework to ensure academic standards and integrity in the University’s research training;</w:t>
      </w:r>
    </w:p>
    <w:p w14:paraId="47B92786" w14:textId="77777777" w:rsidR="00964C26" w:rsidRDefault="009F0C94" w:rsidP="009F309C">
      <w:pPr>
        <w:pStyle w:val="MPLParagraphlevel2"/>
        <w:rPr>
          <w:rFonts w:eastAsia="Arial"/>
        </w:rPr>
      </w:pPr>
      <w:r>
        <w:rPr>
          <w:rFonts w:eastAsia="Arial"/>
        </w:rPr>
        <w:t>set clear responsibilities and accountabilities for decisions affecting graduate research candidates; and</w:t>
      </w:r>
    </w:p>
    <w:p w14:paraId="252E08A9" w14:textId="77777777" w:rsidR="00964C26" w:rsidRDefault="009F0C94" w:rsidP="009F309C">
      <w:pPr>
        <w:pStyle w:val="MPLParagraphlevel2"/>
        <w:rPr>
          <w:rFonts w:eastAsia="Arial"/>
        </w:rPr>
      </w:pPr>
      <w:r>
        <w:rPr>
          <w:rFonts w:eastAsia="Arial"/>
        </w:rPr>
        <w:t>ensure that the University’s graduate research training processes are transparent and that decisions affecting graduate research candidates are consistent and fair.</w:t>
      </w:r>
    </w:p>
    <w:p w14:paraId="720F1215" w14:textId="77777777" w:rsidR="00964C26" w:rsidRDefault="009F0C94" w:rsidP="009F309C">
      <w:pPr>
        <w:pStyle w:val="MPLHeading1"/>
      </w:pPr>
      <w:r>
        <w:t>Scope</w:t>
      </w:r>
    </w:p>
    <w:p w14:paraId="4735B5E6" w14:textId="77777777" w:rsidR="00964C26" w:rsidRDefault="009F0C94" w:rsidP="009F309C">
      <w:pPr>
        <w:pStyle w:val="MPLParagraphlevel1"/>
      </w:pPr>
      <w:r>
        <w:t>This policy applies to all:</w:t>
      </w:r>
    </w:p>
    <w:p w14:paraId="72902593" w14:textId="77777777" w:rsidR="00964C26" w:rsidRDefault="009F0C94" w:rsidP="009F309C">
      <w:pPr>
        <w:pStyle w:val="MPLParagraphlevel2"/>
        <w:rPr>
          <w:rFonts w:eastAsia="Arial"/>
        </w:rPr>
      </w:pPr>
      <w:r>
        <w:rPr>
          <w:rFonts w:eastAsia="Arial"/>
        </w:rPr>
        <w:t>graduate research courses;</w:t>
      </w:r>
    </w:p>
    <w:p w14:paraId="1EFE5D42" w14:textId="77777777" w:rsidR="00964C26" w:rsidRDefault="009F0C94" w:rsidP="009F309C">
      <w:pPr>
        <w:pStyle w:val="MPLParagraphlevel2"/>
        <w:rPr>
          <w:rFonts w:eastAsia="Arial"/>
        </w:rPr>
      </w:pPr>
      <w:r>
        <w:rPr>
          <w:rFonts w:eastAsia="Arial"/>
        </w:rPr>
        <w:t>graduate research candidates;</w:t>
      </w:r>
    </w:p>
    <w:p w14:paraId="1F4C7356" w14:textId="77777777" w:rsidR="00964C26" w:rsidRDefault="009F0C94" w:rsidP="009F309C">
      <w:pPr>
        <w:pStyle w:val="MPLParagraphlevel2"/>
        <w:rPr>
          <w:rFonts w:eastAsia="Arial"/>
        </w:rPr>
      </w:pPr>
      <w:r>
        <w:rPr>
          <w:rFonts w:eastAsia="Arial"/>
        </w:rPr>
        <w:t>University staff responsible for graduate research courses and candidates; and</w:t>
      </w:r>
    </w:p>
    <w:p w14:paraId="52F17339" w14:textId="77777777" w:rsidR="00964C26" w:rsidRDefault="009F0C94" w:rsidP="009F309C">
      <w:pPr>
        <w:pStyle w:val="MPLParagraphlevel2"/>
        <w:rPr>
          <w:rFonts w:eastAsia="Arial"/>
        </w:rPr>
      </w:pPr>
      <w:r>
        <w:rPr>
          <w:rFonts w:eastAsia="Arial"/>
        </w:rPr>
        <w:t>persons external to the University appointed as a supervisor or examiner.</w:t>
      </w:r>
    </w:p>
    <w:p w14:paraId="13DE2867" w14:textId="77777777" w:rsidR="00964C26" w:rsidRDefault="009F0C94" w:rsidP="009F309C">
      <w:pPr>
        <w:pStyle w:val="MPLHeading1"/>
      </w:pPr>
      <w:r>
        <w:t>Authority</w:t>
      </w:r>
    </w:p>
    <w:p w14:paraId="4CC0B0F6" w14:textId="77777777" w:rsidR="00964C26" w:rsidRPr="009F309C" w:rsidRDefault="009F0C94" w:rsidP="009F309C">
      <w:pPr>
        <w:pStyle w:val="MPLParagraphlevel1"/>
        <w:rPr>
          <w:color w:val="000000"/>
          <w:szCs w:val="20"/>
        </w:rPr>
      </w:pPr>
      <w:r w:rsidRPr="009F309C">
        <w:rPr>
          <w:color w:val="000000"/>
          <w:szCs w:val="20"/>
        </w:rPr>
        <w:t xml:space="preserve">This policy is made under the </w:t>
      </w:r>
      <w:hyperlink r:id="rId12" w:history="1">
        <w:r w:rsidRPr="009F309C">
          <w:rPr>
            <w:i/>
            <w:iCs/>
            <w:color w:val="0000FF"/>
            <w:szCs w:val="20"/>
            <w:u w:val="single"/>
          </w:rPr>
          <w:t xml:space="preserve">University of Melbourne Act 2009 </w:t>
        </w:r>
        <w:r w:rsidRPr="009F309C">
          <w:rPr>
            <w:color w:val="0000FF"/>
            <w:szCs w:val="20"/>
            <w:u w:val="single"/>
          </w:rPr>
          <w:t>(Vic)</w:t>
        </w:r>
      </w:hyperlink>
      <w:r w:rsidRPr="009F309C">
        <w:rPr>
          <w:color w:val="000000"/>
          <w:szCs w:val="20"/>
        </w:rPr>
        <w:t xml:space="preserve"> and the </w:t>
      </w:r>
      <w:hyperlink r:id="rId13" w:history="1">
        <w:r w:rsidRPr="009F309C">
          <w:rPr>
            <w:color w:val="0000FF"/>
            <w:szCs w:val="20"/>
            <w:u w:val="single"/>
          </w:rPr>
          <w:t>Academic Board Regulation</w:t>
        </w:r>
      </w:hyperlink>
      <w:r w:rsidRPr="009F309C">
        <w:rPr>
          <w:color w:val="000000"/>
          <w:szCs w:val="20"/>
        </w:rPr>
        <w:t xml:space="preserve"> and supports compliance with the:</w:t>
      </w:r>
    </w:p>
    <w:p w14:paraId="1751BA64" w14:textId="77777777" w:rsidR="00964C26" w:rsidRDefault="009F0C94" w:rsidP="009F309C">
      <w:pPr>
        <w:pStyle w:val="MPLParagraphlevel2"/>
        <w:rPr>
          <w:rFonts w:eastAsia="Arial"/>
        </w:rPr>
      </w:pPr>
      <w:r w:rsidRPr="009F309C">
        <w:rPr>
          <w:rFonts w:eastAsia="Arial"/>
          <w:i/>
          <w:iCs/>
        </w:rPr>
        <w:t>Higher Education Support Act 2003</w:t>
      </w:r>
      <w:r w:rsidR="009F309C">
        <w:rPr>
          <w:rFonts w:eastAsia="Arial"/>
        </w:rPr>
        <w:t xml:space="preserve"> (Cth)</w:t>
      </w:r>
      <w:r>
        <w:rPr>
          <w:rFonts w:eastAsia="Arial"/>
        </w:rPr>
        <w:t>;</w:t>
      </w:r>
    </w:p>
    <w:p w14:paraId="35684CD2" w14:textId="77777777" w:rsidR="00964C26" w:rsidRDefault="009F0C94" w:rsidP="009F309C">
      <w:pPr>
        <w:pStyle w:val="MPLParagraphlevel2"/>
        <w:rPr>
          <w:rFonts w:eastAsia="Arial"/>
        </w:rPr>
      </w:pPr>
      <w:r>
        <w:rPr>
          <w:rFonts w:eastAsia="Arial"/>
        </w:rPr>
        <w:t>Australian Qualifications Framework (AQF);</w:t>
      </w:r>
    </w:p>
    <w:p w14:paraId="7D57DA7E" w14:textId="77777777" w:rsidR="00964C26" w:rsidRDefault="009F0C94" w:rsidP="009F309C">
      <w:pPr>
        <w:pStyle w:val="MPLParagraphlevel2"/>
        <w:rPr>
          <w:rFonts w:eastAsia="Arial"/>
        </w:rPr>
      </w:pPr>
      <w:r>
        <w:rPr>
          <w:rFonts w:eastAsia="Arial"/>
        </w:rPr>
        <w:t>Higher Education Standards Framework;</w:t>
      </w:r>
    </w:p>
    <w:p w14:paraId="2E661B8B" w14:textId="77777777" w:rsidR="00964C26" w:rsidRDefault="009F0C94" w:rsidP="009F309C">
      <w:pPr>
        <w:pStyle w:val="MPLParagraphlevel2"/>
        <w:rPr>
          <w:rFonts w:eastAsia="Arial"/>
        </w:rPr>
      </w:pPr>
      <w:r w:rsidRPr="009F309C">
        <w:rPr>
          <w:rFonts w:eastAsia="Arial"/>
          <w:i/>
          <w:iCs/>
        </w:rPr>
        <w:t>Education Services for Overseas Students Act 2000</w:t>
      </w:r>
      <w:r w:rsidR="009F309C">
        <w:rPr>
          <w:rFonts w:eastAsia="Arial"/>
        </w:rPr>
        <w:t xml:space="preserve"> (Cth)</w:t>
      </w:r>
      <w:r>
        <w:rPr>
          <w:rFonts w:eastAsia="Arial"/>
        </w:rPr>
        <w:t>;</w:t>
      </w:r>
    </w:p>
    <w:p w14:paraId="1E3B826F" w14:textId="77777777" w:rsidR="00964C26" w:rsidRDefault="009F0C94" w:rsidP="009F309C">
      <w:pPr>
        <w:pStyle w:val="MPLParagraphlevel2"/>
        <w:rPr>
          <w:rFonts w:eastAsia="Arial"/>
        </w:rPr>
      </w:pPr>
      <w:r>
        <w:rPr>
          <w:rFonts w:eastAsia="Arial"/>
        </w:rPr>
        <w:t>National Code of Practice for Providers of Education and Training to Overseas Students 2018;</w:t>
      </w:r>
    </w:p>
    <w:p w14:paraId="6C07951E" w14:textId="77777777" w:rsidR="00964C26" w:rsidRDefault="009F0C94" w:rsidP="009F309C">
      <w:pPr>
        <w:pStyle w:val="MPLParagraphlevel2"/>
        <w:rPr>
          <w:rFonts w:eastAsia="Arial"/>
        </w:rPr>
      </w:pPr>
      <w:r w:rsidRPr="009F309C">
        <w:rPr>
          <w:rFonts w:eastAsia="Arial"/>
          <w:i/>
          <w:iCs/>
        </w:rPr>
        <w:t>Autonomous Sanctions Act 2011</w:t>
      </w:r>
      <w:r w:rsidR="009F309C">
        <w:rPr>
          <w:rFonts w:eastAsia="Arial"/>
        </w:rPr>
        <w:t xml:space="preserve"> (Cth)</w:t>
      </w:r>
      <w:r>
        <w:rPr>
          <w:rFonts w:eastAsia="Arial"/>
        </w:rPr>
        <w:t>;</w:t>
      </w:r>
    </w:p>
    <w:p w14:paraId="79F093F6" w14:textId="77777777" w:rsidR="00964C26" w:rsidRDefault="009F0C94" w:rsidP="009F309C">
      <w:pPr>
        <w:pStyle w:val="MPLParagraphlevel2"/>
        <w:rPr>
          <w:rFonts w:eastAsia="Arial"/>
        </w:rPr>
      </w:pPr>
      <w:r w:rsidRPr="009F309C">
        <w:rPr>
          <w:rFonts w:eastAsia="Arial"/>
          <w:i/>
          <w:iCs/>
        </w:rPr>
        <w:t>Defence Trade Controls Act 2012</w:t>
      </w:r>
      <w:r w:rsidR="009F309C">
        <w:rPr>
          <w:rFonts w:eastAsia="Arial"/>
        </w:rPr>
        <w:t xml:space="preserve"> (Cth)</w:t>
      </w:r>
      <w:r>
        <w:rPr>
          <w:rFonts w:eastAsia="Arial"/>
        </w:rPr>
        <w:t>; and</w:t>
      </w:r>
    </w:p>
    <w:p w14:paraId="1D692C25" w14:textId="77777777" w:rsidR="00964C26" w:rsidRDefault="009F0C94" w:rsidP="009F309C">
      <w:pPr>
        <w:pStyle w:val="MPLParagraphlevel2"/>
        <w:rPr>
          <w:rFonts w:eastAsia="Arial"/>
        </w:rPr>
      </w:pPr>
      <w:r>
        <w:rPr>
          <w:rFonts w:eastAsia="Arial"/>
        </w:rPr>
        <w:t>Australian Code for the Responsible Conduct of Research.</w:t>
      </w:r>
    </w:p>
    <w:p w14:paraId="66CF50F2" w14:textId="77777777" w:rsidR="00964C26" w:rsidRDefault="009F0C94" w:rsidP="009F309C">
      <w:pPr>
        <w:pStyle w:val="MPLHeading1"/>
      </w:pPr>
      <w:r>
        <w:t>Policy</w:t>
      </w:r>
    </w:p>
    <w:p w14:paraId="3A613506" w14:textId="77777777" w:rsidR="00964C26" w:rsidRDefault="009F0C94" w:rsidP="009F309C">
      <w:pPr>
        <w:pStyle w:val="MPFSubheading"/>
      </w:pPr>
      <w:r>
        <w:t>Course duration</w:t>
      </w:r>
    </w:p>
    <w:p w14:paraId="3E3BEA3E" w14:textId="77777777" w:rsidR="00964C26" w:rsidRDefault="009F0C94" w:rsidP="009F309C">
      <w:pPr>
        <w:pStyle w:val="MPLParagraphlevel1"/>
      </w:pPr>
      <w:r>
        <w:t xml:space="preserve">The course duration for research courses are set out in </w:t>
      </w:r>
      <w:r w:rsidRPr="009F309C">
        <w:rPr>
          <w:color w:val="000000" w:themeColor="text1"/>
        </w:rPr>
        <w:t>the Courses, Subjects, Awards and Programs Policy</w:t>
      </w:r>
      <w:r w:rsidR="009F309C">
        <w:rPr>
          <w:color w:val="000000" w:themeColor="text1"/>
        </w:rPr>
        <w:t xml:space="preserve"> (</w:t>
      </w:r>
      <w:hyperlink r:id="rId14" w:history="1">
        <w:r w:rsidR="009F309C" w:rsidRPr="009F309C">
          <w:rPr>
            <w:rStyle w:val="Hyperlink"/>
          </w:rPr>
          <w:t>MPF1327</w:t>
        </w:r>
      </w:hyperlink>
      <w:r w:rsidR="009F309C">
        <w:rPr>
          <w:color w:val="000000" w:themeColor="text1"/>
        </w:rPr>
        <w:t>)</w:t>
      </w:r>
      <w:r w:rsidRPr="009F309C">
        <w:rPr>
          <w:color w:val="000000" w:themeColor="text1"/>
        </w:rPr>
        <w:t>; this includes the requirement to ensure th</w:t>
      </w:r>
      <w:r>
        <w:t>at projects are achievable within the relevant expected course duration.</w:t>
      </w:r>
    </w:p>
    <w:p w14:paraId="1B9615CE" w14:textId="77777777" w:rsidR="00964C26" w:rsidRDefault="009F0C94" w:rsidP="009F309C">
      <w:pPr>
        <w:pStyle w:val="MPFSubheading"/>
      </w:pPr>
      <w:r>
        <w:lastRenderedPageBreak/>
        <w:t>Deferral of candidature</w:t>
      </w:r>
    </w:p>
    <w:p w14:paraId="67CF4C09" w14:textId="77777777" w:rsidR="00964C26" w:rsidRDefault="009F0C94" w:rsidP="009F309C">
      <w:pPr>
        <w:pStyle w:val="MPLParagraphlevel1"/>
      </w:pPr>
      <w:r>
        <w:t>Applicants may apply to defer their commencement in their course prior to enrolment.</w:t>
      </w:r>
    </w:p>
    <w:p w14:paraId="16A4EB0F" w14:textId="77777777" w:rsidR="00964C26" w:rsidRDefault="009F0C94" w:rsidP="009F309C">
      <w:pPr>
        <w:pStyle w:val="MPLParagraphlevel1"/>
      </w:pPr>
      <w:r>
        <w:t>The maximum period of deferral is 12 months; a lesser period may be granted.</w:t>
      </w:r>
    </w:p>
    <w:p w14:paraId="4FDA669B" w14:textId="77777777" w:rsidR="00964C26" w:rsidRDefault="009F0C94" w:rsidP="009F309C">
      <w:pPr>
        <w:pStyle w:val="MPLParagraphlevel1"/>
      </w:pPr>
      <w:r>
        <w:t>Deferral is not automatica</w:t>
      </w:r>
      <w:r>
        <w:rPr>
          <w:b/>
          <w:bCs/>
        </w:rPr>
        <w:t>l</w:t>
      </w:r>
      <w:r>
        <w:t xml:space="preserve">ly </w:t>
      </w:r>
      <w:proofErr w:type="gramStart"/>
      <w:r>
        <w:t>granted</w:t>
      </w:r>
      <w:proofErr w:type="gramEnd"/>
      <w:r>
        <w:t xml:space="preserve"> and the dean is not obliged to grant deferral.</w:t>
      </w:r>
    </w:p>
    <w:p w14:paraId="089F1F14" w14:textId="77777777" w:rsidR="00964C26" w:rsidRDefault="009F0C94" w:rsidP="009F309C">
      <w:pPr>
        <w:pStyle w:val="MPLParagraphlevel1"/>
      </w:pPr>
      <w:r>
        <w:t>When making decisions on requests to defer, factors that the dean considers include:</w:t>
      </w:r>
    </w:p>
    <w:p w14:paraId="5B7802C7" w14:textId="77777777" w:rsidR="00964C26" w:rsidRDefault="009F0C94" w:rsidP="009F309C">
      <w:pPr>
        <w:pStyle w:val="MPLParagraphlevel2"/>
        <w:rPr>
          <w:rFonts w:eastAsia="Arial"/>
        </w:rPr>
      </w:pPr>
      <w:r>
        <w:rPr>
          <w:rFonts w:eastAsia="Arial"/>
        </w:rPr>
        <w:t>restrictions or conditions applying to any scholarship held by or offered to the candidate;</w:t>
      </w:r>
    </w:p>
    <w:p w14:paraId="260F7532" w14:textId="77777777" w:rsidR="00964C26" w:rsidRDefault="009F0C94" w:rsidP="009F309C">
      <w:pPr>
        <w:pStyle w:val="MPLParagraphlevel2"/>
        <w:rPr>
          <w:rFonts w:eastAsia="Arial"/>
        </w:rPr>
      </w:pPr>
      <w:r>
        <w:rPr>
          <w:rFonts w:eastAsia="Arial"/>
        </w:rPr>
        <w:t>course specific criteria as documented in the course accreditation instrument;</w:t>
      </w:r>
    </w:p>
    <w:p w14:paraId="3A0FBE08" w14:textId="77777777" w:rsidR="00964C26" w:rsidRDefault="009F0C94" w:rsidP="009F309C">
      <w:pPr>
        <w:pStyle w:val="MPLParagraphlevel2"/>
        <w:rPr>
          <w:rFonts w:eastAsia="Arial"/>
        </w:rPr>
      </w:pPr>
      <w:r>
        <w:rPr>
          <w:rFonts w:eastAsia="Arial"/>
        </w:rPr>
        <w:t>regulatory requirements; and</w:t>
      </w:r>
    </w:p>
    <w:p w14:paraId="08F9FB99" w14:textId="77777777" w:rsidR="00964C26" w:rsidRDefault="009F0C94" w:rsidP="009F309C">
      <w:pPr>
        <w:pStyle w:val="MPLParagraphlevel2"/>
        <w:rPr>
          <w:rFonts w:eastAsia="Arial"/>
        </w:rPr>
      </w:pPr>
      <w:r>
        <w:rPr>
          <w:rFonts w:eastAsia="Arial"/>
        </w:rPr>
        <w:t>the needs of the candidate making the request; and</w:t>
      </w:r>
    </w:p>
    <w:p w14:paraId="7935C304" w14:textId="77777777" w:rsidR="00964C26" w:rsidRDefault="009F0C94" w:rsidP="009F309C">
      <w:pPr>
        <w:pStyle w:val="MPLParagraphlevel2"/>
        <w:rPr>
          <w:rFonts w:eastAsia="Arial"/>
        </w:rPr>
      </w:pPr>
      <w:r>
        <w:rPr>
          <w:rFonts w:eastAsia="Arial"/>
        </w:rPr>
        <w:t xml:space="preserve">the capacity to provide supervision, and the availability of facilities and resources as described in the </w:t>
      </w:r>
      <w:hyperlink r:id="rId15" w:history="1">
        <w:r>
          <w:rPr>
            <w:rFonts w:eastAsia="Arial"/>
            <w:color w:val="0000FF"/>
            <w:u w:val="single"/>
          </w:rPr>
          <w:t>Principles for Infrastructure Support for Graduate Research Students</w:t>
        </w:r>
      </w:hyperlink>
      <w:r>
        <w:rPr>
          <w:rFonts w:eastAsia="Arial"/>
        </w:rPr>
        <w:t> for the normal duration of the course.</w:t>
      </w:r>
    </w:p>
    <w:p w14:paraId="1E8777A0" w14:textId="77777777" w:rsidR="00964C26" w:rsidRDefault="009F0C94" w:rsidP="009F309C">
      <w:pPr>
        <w:pStyle w:val="MPFSubheading"/>
      </w:pPr>
      <w:r>
        <w:t>Transfers of candidature</w:t>
      </w:r>
    </w:p>
    <w:p w14:paraId="4E0502AD" w14:textId="77777777" w:rsidR="00964C26" w:rsidRDefault="009F0C94" w:rsidP="009F309C">
      <w:pPr>
        <w:pStyle w:val="MPLParagraphlevel1"/>
      </w:pPr>
      <w:r>
        <w:t>A candidate who wants to transfer to the University from another institution must apply in accordance with the Selection and Admission Policy</w:t>
      </w:r>
      <w:r w:rsidR="009F309C">
        <w:t xml:space="preserve"> (</w:t>
      </w:r>
      <w:hyperlink r:id="rId16" w:history="1">
        <w:r w:rsidR="009F309C" w:rsidRPr="009F309C">
          <w:rPr>
            <w:rStyle w:val="Hyperlink"/>
          </w:rPr>
          <w:t>MPF1295</w:t>
        </w:r>
      </w:hyperlink>
      <w:r w:rsidR="009F309C">
        <w:t>)</w:t>
      </w:r>
      <w:r>
        <w:t>.</w:t>
      </w:r>
    </w:p>
    <w:p w14:paraId="3144809D" w14:textId="77777777" w:rsidR="00964C26" w:rsidRDefault="009F0C94" w:rsidP="009F309C">
      <w:pPr>
        <w:pStyle w:val="MPLParagraphlevel1"/>
      </w:pPr>
      <w:r>
        <w:t>A candidate of the University who wants to transfer to another graduate research course at the University must:</w:t>
      </w:r>
    </w:p>
    <w:p w14:paraId="2C06D1BD" w14:textId="77777777" w:rsidR="00964C26" w:rsidRDefault="009F0C94" w:rsidP="009F309C">
      <w:pPr>
        <w:pStyle w:val="MPLParagraphlevel2"/>
        <w:rPr>
          <w:rFonts w:eastAsia="Arial"/>
        </w:rPr>
      </w:pPr>
      <w:r>
        <w:rPr>
          <w:rFonts w:eastAsia="Arial"/>
        </w:rPr>
        <w:t>meet the eligibility requirements of the course to which they wish to transfer; and</w:t>
      </w:r>
    </w:p>
    <w:p w14:paraId="1CA91D2C" w14:textId="77777777" w:rsidR="00964C26" w:rsidRDefault="009F0C94" w:rsidP="009F309C">
      <w:pPr>
        <w:pStyle w:val="MPLParagraphlevel2"/>
        <w:rPr>
          <w:rFonts w:eastAsia="Arial"/>
        </w:rPr>
      </w:pPr>
      <w:r>
        <w:rPr>
          <w:rFonts w:eastAsia="Arial"/>
        </w:rPr>
        <w:t>satisfy their supervisors and the dean of their ability to complete the course in a timely manner.</w:t>
      </w:r>
    </w:p>
    <w:p w14:paraId="1ED0EED6" w14:textId="77777777" w:rsidR="00964C26" w:rsidRDefault="009F0C94" w:rsidP="009F309C">
      <w:pPr>
        <w:pStyle w:val="MPLParagraphlevel1"/>
      </w:pPr>
      <w:r>
        <w:t>A dean may admit a candidate directly into confirmed candidature if they successfully completed the confirmation requirements in a graduate research course at the same or higher AQF level:</w:t>
      </w:r>
    </w:p>
    <w:p w14:paraId="50675704" w14:textId="77777777" w:rsidR="00964C26" w:rsidRDefault="009F0C94" w:rsidP="009F309C">
      <w:pPr>
        <w:pStyle w:val="MPLParagraphlevel2"/>
        <w:rPr>
          <w:rFonts w:eastAsia="Arial"/>
        </w:rPr>
      </w:pPr>
      <w:r>
        <w:rPr>
          <w:rFonts w:eastAsia="Arial"/>
        </w:rPr>
        <w:t>at another Australian institution; or</w:t>
      </w:r>
    </w:p>
    <w:p w14:paraId="2782150A" w14:textId="77777777" w:rsidR="00964C26" w:rsidRDefault="009F0C94" w:rsidP="009F309C">
      <w:pPr>
        <w:pStyle w:val="MPLParagraphlevel2"/>
        <w:rPr>
          <w:rFonts w:eastAsia="Arial"/>
        </w:rPr>
      </w:pPr>
      <w:r>
        <w:rPr>
          <w:rFonts w:eastAsia="Arial"/>
        </w:rPr>
        <w:t>at the University.</w:t>
      </w:r>
    </w:p>
    <w:p w14:paraId="446DD947" w14:textId="09EBA923" w:rsidR="00964C26" w:rsidRDefault="009F0C94" w:rsidP="009F309C">
      <w:pPr>
        <w:pStyle w:val="MPLParagraphlevel1"/>
      </w:pPr>
      <w:r>
        <w:t xml:space="preserve">A candidate who holds or has held a Research Training Program (RTP) Fee Offset scholarship has any consumed candidature time deducted from their enrolment entitlement for the course of study, as required by the </w:t>
      </w:r>
      <w:hyperlink r:id="rId17" w:history="1">
        <w:r w:rsidRPr="009F309C">
          <w:rPr>
            <w:i/>
            <w:iCs/>
            <w:color w:val="0000FF"/>
            <w:u w:val="single"/>
          </w:rPr>
          <w:t>Higher Education</w:t>
        </w:r>
      </w:hyperlink>
      <w:r w:rsidRPr="009F309C">
        <w:rPr>
          <w:i/>
          <w:iCs/>
        </w:rPr>
        <w:t xml:space="preserve"> </w:t>
      </w:r>
      <w:hyperlink r:id="rId18" w:history="1">
        <w:r w:rsidRPr="009F309C">
          <w:rPr>
            <w:i/>
            <w:iCs/>
            <w:color w:val="0000FF"/>
            <w:u w:val="single"/>
          </w:rPr>
          <w:t>Support Act 2003</w:t>
        </w:r>
      </w:hyperlink>
      <w:r>
        <w:t xml:space="preserve"> (Cth) and Commonwealth Scholarship Guidelines (Research) 2017.</w:t>
      </w:r>
    </w:p>
    <w:p w14:paraId="45355EEC" w14:textId="77777777" w:rsidR="00964C26" w:rsidRDefault="009F0C94" w:rsidP="009F309C">
      <w:pPr>
        <w:pStyle w:val="MPLParagraphlevel1"/>
      </w:pPr>
      <w:r>
        <w:t>Candidature time undertaken at the other institution may be deducted from the course duration.</w:t>
      </w:r>
    </w:p>
    <w:p w14:paraId="2B874D51" w14:textId="77777777" w:rsidR="00964C26" w:rsidRDefault="009F0C94" w:rsidP="009F309C">
      <w:pPr>
        <w:pStyle w:val="MPLParagraphlevel1"/>
      </w:pPr>
      <w:r>
        <w:t>International candidates transferring from another Australian institution have the candidature time already used deducted from their entitlement.</w:t>
      </w:r>
    </w:p>
    <w:p w14:paraId="00ADDE24" w14:textId="77777777" w:rsidR="00964C26" w:rsidRDefault="009F0C94" w:rsidP="009F309C">
      <w:pPr>
        <w:pStyle w:val="MPFSubheading"/>
      </w:pPr>
      <w:r>
        <w:t>Candidates at outside institutions</w:t>
      </w:r>
    </w:p>
    <w:p w14:paraId="292FCA05" w14:textId="60527B53" w:rsidR="00964C26" w:rsidRPr="002B40FD" w:rsidRDefault="009F0C94" w:rsidP="009F309C">
      <w:pPr>
        <w:pStyle w:val="MPLParagraphlevel1"/>
        <w:rPr>
          <w:color w:val="000000"/>
          <w:szCs w:val="20"/>
        </w:rPr>
      </w:pPr>
      <w:r w:rsidRPr="002B40FD">
        <w:rPr>
          <w:color w:val="000000"/>
          <w:szCs w:val="20"/>
        </w:rPr>
        <w:t>Candidates may be located at an</w:t>
      </w:r>
      <w:r w:rsidR="002B40FD">
        <w:rPr>
          <w:color w:val="000000"/>
          <w:szCs w:val="20"/>
        </w:rPr>
        <w:t xml:space="preserve"> </w:t>
      </w:r>
      <w:hyperlink r:id="rId19" w:history="1">
        <w:r w:rsidR="002B40FD" w:rsidRPr="002B40FD">
          <w:rPr>
            <w:rStyle w:val="Hyperlink"/>
            <w:szCs w:val="20"/>
          </w:rPr>
          <w:t>approved outside institution</w:t>
        </w:r>
      </w:hyperlink>
      <w:r w:rsidRPr="002B40FD">
        <w:rPr>
          <w:color w:val="000000"/>
          <w:szCs w:val="20"/>
        </w:rPr>
        <w:t xml:space="preserve"> for the duration of the candidature provided that:</w:t>
      </w:r>
    </w:p>
    <w:p w14:paraId="2965EB79" w14:textId="77777777" w:rsidR="00964C26" w:rsidRDefault="009F0C94" w:rsidP="009F309C">
      <w:pPr>
        <w:pStyle w:val="MPLParagraphlevel2"/>
        <w:rPr>
          <w:rFonts w:eastAsia="Arial"/>
        </w:rPr>
      </w:pPr>
      <w:r>
        <w:rPr>
          <w:rFonts w:eastAsia="Arial"/>
        </w:rPr>
        <w:lastRenderedPageBreak/>
        <w:t>supervision provided at the institution meets the supervision requirements of this policy;</w:t>
      </w:r>
    </w:p>
    <w:p w14:paraId="46075524" w14:textId="77777777" w:rsidR="00964C26" w:rsidRDefault="009F0C94" w:rsidP="009F309C">
      <w:pPr>
        <w:pStyle w:val="MPLParagraphlevel2"/>
        <w:rPr>
          <w:rFonts w:eastAsia="Arial"/>
        </w:rPr>
      </w:pPr>
      <w:r>
        <w:rPr>
          <w:rFonts w:eastAsia="Arial"/>
        </w:rPr>
        <w:t>the candidate attends the University to take part in seminars or activities required by the enrolling department; and,</w:t>
      </w:r>
    </w:p>
    <w:p w14:paraId="225A0F8C" w14:textId="77777777" w:rsidR="00964C26" w:rsidRDefault="009F0C94" w:rsidP="009F309C">
      <w:pPr>
        <w:pStyle w:val="MPLParagraphlevel2"/>
        <w:rPr>
          <w:rFonts w:eastAsia="Arial"/>
        </w:rPr>
      </w:pPr>
      <w:r>
        <w:rPr>
          <w:rFonts w:eastAsia="Arial"/>
        </w:rPr>
        <w:t>the candidate meets all progress requirements for their course.</w:t>
      </w:r>
    </w:p>
    <w:p w14:paraId="74133856" w14:textId="77777777" w:rsidR="00964C26" w:rsidRDefault="009F0C94" w:rsidP="009F309C">
      <w:pPr>
        <w:pStyle w:val="MPLParagraphlevel1"/>
      </w:pPr>
      <w:r>
        <w:t>In exceptional circumstances, a dean may apply to the Higher Degrees by Research Committee (HDRC) to place a candidate at an institution which is not an approved institution. Approval may be given where:</w:t>
      </w:r>
    </w:p>
    <w:p w14:paraId="20652A37" w14:textId="77777777" w:rsidR="00964C26" w:rsidRDefault="009F0C94" w:rsidP="009F309C">
      <w:pPr>
        <w:pStyle w:val="MPLParagraphlevel2"/>
        <w:rPr>
          <w:rFonts w:eastAsia="Arial"/>
        </w:rPr>
      </w:pPr>
      <w:r>
        <w:rPr>
          <w:rFonts w:eastAsia="Arial"/>
        </w:rPr>
        <w:t>the conditions listed in section 4.12 are met;</w:t>
      </w:r>
    </w:p>
    <w:p w14:paraId="641133E7" w14:textId="77777777" w:rsidR="00964C26" w:rsidRDefault="009F0C94" w:rsidP="009F309C">
      <w:pPr>
        <w:pStyle w:val="MPLParagraphlevel2"/>
        <w:rPr>
          <w:rFonts w:eastAsia="Arial"/>
        </w:rPr>
      </w:pPr>
      <w:r>
        <w:rPr>
          <w:rFonts w:eastAsia="Arial"/>
        </w:rPr>
        <w:t>the institution meets the criteria listed in section 5.2 (a-d); and</w:t>
      </w:r>
    </w:p>
    <w:p w14:paraId="03012067" w14:textId="77777777" w:rsidR="00964C26" w:rsidRDefault="009F0C94" w:rsidP="009F309C">
      <w:pPr>
        <w:pStyle w:val="MPLParagraphlevel2"/>
        <w:rPr>
          <w:rFonts w:eastAsia="Arial"/>
        </w:rPr>
      </w:pPr>
      <w:r>
        <w:rPr>
          <w:rFonts w:eastAsia="Arial"/>
        </w:rPr>
        <w:t>the application is endorsed by the dean of the relevant faculty.</w:t>
      </w:r>
    </w:p>
    <w:p w14:paraId="5D44D014" w14:textId="38CFDCAB" w:rsidR="00964C26" w:rsidRDefault="009F0C94" w:rsidP="009F309C">
      <w:pPr>
        <w:pStyle w:val="MPLParagraphlevel1"/>
      </w:pPr>
      <w:r>
        <w:t>Candidates who wish to complete part of their research project at another institution must apply to stud</w:t>
      </w:r>
      <w:r w:rsidRPr="009F309C">
        <w:t>y away in accordance with this policy and the Student Travel and Transport Policy</w:t>
      </w:r>
      <w:r w:rsidR="009F309C">
        <w:t xml:space="preserve"> (</w:t>
      </w:r>
      <w:hyperlink r:id="rId20" w:history="1">
        <w:r w:rsidR="009F309C" w:rsidRPr="009F309C">
          <w:rPr>
            <w:rStyle w:val="Hyperlink"/>
          </w:rPr>
          <w:t>MPF1209</w:t>
        </w:r>
      </w:hyperlink>
      <w:r w:rsidR="009F309C">
        <w:t>)</w:t>
      </w:r>
      <w:r w:rsidRPr="009F309C">
        <w:t>.</w:t>
      </w:r>
    </w:p>
    <w:p w14:paraId="33EF861B" w14:textId="77777777" w:rsidR="00964C26" w:rsidRDefault="009F0C94" w:rsidP="009F309C">
      <w:pPr>
        <w:pStyle w:val="MPFSubheading"/>
      </w:pPr>
      <w:r>
        <w:t>Supervisors</w:t>
      </w:r>
    </w:p>
    <w:p w14:paraId="06F88770" w14:textId="77777777" w:rsidR="00964C26" w:rsidRDefault="009F0C94" w:rsidP="009F309C">
      <w:pPr>
        <w:pStyle w:val="MPLParagraphlevel1"/>
      </w:pPr>
      <w:r>
        <w:t>All candidates must have at least two supervisors for candidates who commence after 1 January 2017.</w:t>
      </w:r>
    </w:p>
    <w:p w14:paraId="07708E0F" w14:textId="77777777" w:rsidR="00964C26" w:rsidRDefault="009F0C94" w:rsidP="009F309C">
      <w:pPr>
        <w:pStyle w:val="MPLParagraphlevel1"/>
      </w:pPr>
      <w:r>
        <w:t>Where a candidate has more than one supervisor, one supervisor must be designated as the principal supervisor. The principal supervisor-</w:t>
      </w:r>
    </w:p>
    <w:p w14:paraId="04069C09" w14:textId="77777777" w:rsidR="00964C26" w:rsidRDefault="009F0C94" w:rsidP="009F309C">
      <w:pPr>
        <w:pStyle w:val="MPLParagraphlevel2"/>
        <w:rPr>
          <w:rFonts w:eastAsia="Arial"/>
        </w:rPr>
      </w:pPr>
      <w:r>
        <w:rPr>
          <w:rFonts w:eastAsia="Arial"/>
        </w:rPr>
        <w:t>must be a member of the academic department of the candidate unless otherwise approved by the relevant dean;</w:t>
      </w:r>
    </w:p>
    <w:p w14:paraId="0C9CBCCB" w14:textId="77777777" w:rsidR="00964C26" w:rsidRDefault="009F0C94" w:rsidP="009F309C">
      <w:pPr>
        <w:pStyle w:val="MPLParagraphlevel2"/>
        <w:rPr>
          <w:rFonts w:eastAsia="Arial"/>
        </w:rPr>
      </w:pPr>
      <w:r>
        <w:rPr>
          <w:rFonts w:eastAsia="Arial"/>
        </w:rPr>
        <w:t>has administrative responsibility for the candidate; and</w:t>
      </w:r>
    </w:p>
    <w:p w14:paraId="74038212" w14:textId="77777777" w:rsidR="00964C26" w:rsidRDefault="009F0C94" w:rsidP="009F309C">
      <w:pPr>
        <w:pStyle w:val="MPLParagraphlevel2"/>
        <w:rPr>
          <w:rFonts w:eastAsia="Arial"/>
        </w:rPr>
      </w:pPr>
      <w:r>
        <w:rPr>
          <w:rFonts w:eastAsia="Arial"/>
        </w:rPr>
        <w:t>must be a registered supervisor who has maintained supervisor training in accordance with policy requirements.</w:t>
      </w:r>
    </w:p>
    <w:p w14:paraId="45A1F3EF" w14:textId="77777777" w:rsidR="00964C26" w:rsidRDefault="009F0C94" w:rsidP="009F309C">
      <w:pPr>
        <w:pStyle w:val="MPLParagraphlevel1"/>
      </w:pPr>
      <w:r>
        <w:t>All supervisors must have theoretical and methodological expertise relevant to the candidate’s research project.</w:t>
      </w:r>
    </w:p>
    <w:p w14:paraId="7117FA5A" w14:textId="77777777" w:rsidR="00964C26" w:rsidRDefault="009F0C94" w:rsidP="009F309C">
      <w:pPr>
        <w:pStyle w:val="MPLParagraphlevel1"/>
      </w:pPr>
      <w:r>
        <w:t>Co-supervisors have a more specific or secondary role in the supervision of a candidate’s research.</w:t>
      </w:r>
    </w:p>
    <w:p w14:paraId="3FEC496E" w14:textId="77777777" w:rsidR="00964C26" w:rsidRDefault="009F0C94" w:rsidP="009F309C">
      <w:pPr>
        <w:pStyle w:val="MPLParagraphlevel1"/>
      </w:pPr>
      <w:r>
        <w:t>A supervisor who is not a University staff member or an honorary appointee may be appointed as an external supervisor. External supervisors must agree to take direction in respect of supervision from the candidate’s dean.</w:t>
      </w:r>
    </w:p>
    <w:p w14:paraId="66C9C8D1" w14:textId="77777777" w:rsidR="00964C26" w:rsidRDefault="009F0C94" w:rsidP="009F309C">
      <w:pPr>
        <w:pStyle w:val="MPLParagraphlevel1"/>
      </w:pPr>
      <w:r>
        <w:t>A person must not be appointed nor remain as a supervisor of a candidate if that appointment, or its continuation, could reasonably be expected to give rise to a real or perceived conflict of interest that could affect in any way the progress or standing of a candidate. For avoidance of doubt, a supervisor cannot be in a domestic or have a personal relationship with the candidate.</w:t>
      </w:r>
    </w:p>
    <w:p w14:paraId="6629DB2E" w14:textId="77777777" w:rsidR="00964C26" w:rsidRDefault="009F0C94" w:rsidP="009F309C">
      <w:pPr>
        <w:pStyle w:val="MPLParagraphlevel1"/>
      </w:pPr>
      <w:r>
        <w:t>A full-time candidate in a graduate research course at the University may not:</w:t>
      </w:r>
    </w:p>
    <w:p w14:paraId="6ECA6B12" w14:textId="77777777" w:rsidR="00964C26" w:rsidRDefault="009F0C94" w:rsidP="009F309C">
      <w:pPr>
        <w:pStyle w:val="MPLParagraphlevel2"/>
        <w:rPr>
          <w:rFonts w:eastAsia="Arial"/>
        </w:rPr>
      </w:pPr>
      <w:r>
        <w:rPr>
          <w:rFonts w:eastAsia="Arial"/>
        </w:rPr>
        <w:t>supervise another candidate at either the University of Melbourne or any other institution; or</w:t>
      </w:r>
    </w:p>
    <w:p w14:paraId="667A78F0" w14:textId="77777777" w:rsidR="00964C26" w:rsidRDefault="009F0C94" w:rsidP="009F309C">
      <w:pPr>
        <w:pStyle w:val="MPLParagraphlevel2"/>
        <w:rPr>
          <w:rFonts w:eastAsia="Arial"/>
        </w:rPr>
      </w:pPr>
      <w:r>
        <w:rPr>
          <w:rFonts w:eastAsia="Arial"/>
        </w:rPr>
        <w:lastRenderedPageBreak/>
        <w:t>be a member of the advisory committee of another candidate at either the University of Melbourne or any other institution.</w:t>
      </w:r>
    </w:p>
    <w:p w14:paraId="037E8282" w14:textId="77777777" w:rsidR="00964C26" w:rsidRDefault="009F0C94" w:rsidP="009F309C">
      <w:pPr>
        <w:pStyle w:val="MPLParagraphlevel1"/>
      </w:pPr>
      <w:r>
        <w:t>A part-time candidate in a University graduate research course who meets the supervision requirements may supervise candidates in a course at a lower AQF level, with the permission of the relevant dean.</w:t>
      </w:r>
    </w:p>
    <w:p w14:paraId="2761573F" w14:textId="77777777" w:rsidR="00964C26" w:rsidRDefault="009F0C94" w:rsidP="009F309C">
      <w:pPr>
        <w:pStyle w:val="MPFSubheading"/>
      </w:pPr>
      <w:r>
        <w:t>Advisory committee</w:t>
      </w:r>
    </w:p>
    <w:p w14:paraId="5C5CD132" w14:textId="77777777" w:rsidR="00964C26" w:rsidRDefault="009F0C94" w:rsidP="009F309C">
      <w:pPr>
        <w:pStyle w:val="MPLParagraphlevel1"/>
      </w:pPr>
      <w:r>
        <w:t>The dean must establish an advisory committee for every candidate on enrolment.</w:t>
      </w:r>
    </w:p>
    <w:p w14:paraId="6FD245AD" w14:textId="77777777" w:rsidR="00964C26" w:rsidRDefault="009F0C94" w:rsidP="009F309C">
      <w:pPr>
        <w:pStyle w:val="MPLParagraphlevel1"/>
      </w:pPr>
      <w:r>
        <w:t>The advisory committee must:</w:t>
      </w:r>
    </w:p>
    <w:p w14:paraId="70C7E7DE" w14:textId="77777777" w:rsidR="00964C26" w:rsidRDefault="009F309C" w:rsidP="009F309C">
      <w:pPr>
        <w:pStyle w:val="MPLParagraphlevel2"/>
        <w:rPr>
          <w:rFonts w:eastAsia="Arial"/>
        </w:rPr>
      </w:pPr>
      <w:r>
        <w:rPr>
          <w:rFonts w:eastAsia="Arial"/>
        </w:rPr>
        <w:t>r</w:t>
      </w:r>
      <w:r w:rsidR="009F0C94">
        <w:rPr>
          <w:rFonts w:eastAsia="Arial"/>
        </w:rPr>
        <w:t>emain in place from enrolment to submission of the thesis; and</w:t>
      </w:r>
    </w:p>
    <w:p w14:paraId="401730C0" w14:textId="77777777" w:rsidR="00964C26" w:rsidRDefault="009F0C94" w:rsidP="009F309C">
      <w:pPr>
        <w:pStyle w:val="MPLParagraphlevel2"/>
        <w:rPr>
          <w:rFonts w:eastAsia="Arial"/>
        </w:rPr>
      </w:pPr>
      <w:r>
        <w:rPr>
          <w:rFonts w:eastAsia="Arial"/>
        </w:rPr>
        <w:t>be comprised of at least three people including the advisory committee chair and the candidate’s supervisors. Other members can include academic staff, honorary appointees or external members.</w:t>
      </w:r>
    </w:p>
    <w:p w14:paraId="54B60E64" w14:textId="77777777" w:rsidR="00964C26" w:rsidRDefault="009F0C94" w:rsidP="009F309C">
      <w:pPr>
        <w:pStyle w:val="MPLParagraphlevel1"/>
      </w:pPr>
      <w:r>
        <w:t>The advisory committee must:</w:t>
      </w:r>
    </w:p>
    <w:p w14:paraId="6752E798" w14:textId="77777777" w:rsidR="00964C26" w:rsidRDefault="009F0C94" w:rsidP="009F309C">
      <w:pPr>
        <w:pStyle w:val="MPLParagraphlevel2"/>
        <w:rPr>
          <w:rFonts w:eastAsia="Arial"/>
        </w:rPr>
      </w:pPr>
      <w:r>
        <w:rPr>
          <w:rFonts w:eastAsia="Arial"/>
        </w:rPr>
        <w:t>ensure the research project is appropriate to the course, can be completed within the time-frame available (expected course duration), is appropriately resourced, and complies with all relevant legislation, policies and processes;</w:t>
      </w:r>
    </w:p>
    <w:p w14:paraId="728BA72E" w14:textId="77777777" w:rsidR="00964C26" w:rsidRDefault="009F0C94" w:rsidP="009F309C">
      <w:pPr>
        <w:pStyle w:val="MPLParagraphlevel2"/>
        <w:rPr>
          <w:rFonts w:eastAsia="Arial"/>
        </w:rPr>
      </w:pPr>
      <w:r>
        <w:rPr>
          <w:rFonts w:eastAsia="Arial"/>
        </w:rPr>
        <w:t>in accordance with the policy for confirmation, recommend whether the candidate may continue to pursue the course in which they are enrolled;</w:t>
      </w:r>
    </w:p>
    <w:p w14:paraId="72997E4D" w14:textId="77777777" w:rsidR="00964C26" w:rsidRDefault="009F0C94" w:rsidP="009F309C">
      <w:pPr>
        <w:pStyle w:val="MPLParagraphlevel2"/>
        <w:rPr>
          <w:rFonts w:eastAsia="Arial"/>
        </w:rPr>
      </w:pPr>
      <w:r>
        <w:rPr>
          <w:rFonts w:eastAsia="Arial"/>
        </w:rPr>
        <w:t>monitor the candidate’s academic progress;</w:t>
      </w:r>
    </w:p>
    <w:p w14:paraId="058F5413" w14:textId="77777777" w:rsidR="00964C26" w:rsidRDefault="009F0C94" w:rsidP="009F309C">
      <w:pPr>
        <w:pStyle w:val="MPLParagraphlevel2"/>
        <w:rPr>
          <w:rFonts w:eastAsia="Arial"/>
        </w:rPr>
      </w:pPr>
      <w:r>
        <w:rPr>
          <w:rFonts w:eastAsia="Arial"/>
        </w:rPr>
        <w:t>recommend an extension to candidature if it is deemed necessary, up to the maximum time to complete;</w:t>
      </w:r>
    </w:p>
    <w:p w14:paraId="6699195E" w14:textId="77777777" w:rsidR="00964C26" w:rsidRDefault="009F0C94" w:rsidP="009F309C">
      <w:pPr>
        <w:pStyle w:val="MPLParagraphlevel2"/>
        <w:rPr>
          <w:rFonts w:eastAsia="Arial"/>
        </w:rPr>
      </w:pPr>
      <w:r>
        <w:rPr>
          <w:rFonts w:eastAsia="Arial"/>
        </w:rPr>
        <w:t>attend and report on the candidate’s completion seminar in accordance with the completion seminar policy and guidelines;</w:t>
      </w:r>
    </w:p>
    <w:p w14:paraId="1A6F1B65" w14:textId="77777777" w:rsidR="00964C26" w:rsidRDefault="009F0C94" w:rsidP="009F309C">
      <w:pPr>
        <w:pStyle w:val="MPLParagraphlevel2"/>
        <w:rPr>
          <w:rFonts w:eastAsia="Arial"/>
        </w:rPr>
      </w:pPr>
      <w:r>
        <w:rPr>
          <w:rFonts w:eastAsia="Arial"/>
        </w:rPr>
        <w:t>mentor the candidate on matters pertaining to the research project;</w:t>
      </w:r>
    </w:p>
    <w:p w14:paraId="337AA8EA" w14:textId="77777777" w:rsidR="00964C26" w:rsidRDefault="009F0C94" w:rsidP="009F309C">
      <w:pPr>
        <w:pStyle w:val="MPLParagraphlevel2"/>
        <w:rPr>
          <w:rFonts w:eastAsia="Arial"/>
        </w:rPr>
      </w:pPr>
      <w:r>
        <w:rPr>
          <w:rFonts w:eastAsia="Arial"/>
        </w:rPr>
        <w:t xml:space="preserve">mentor the candidate to develop the graduate attributes as described in the University </w:t>
      </w:r>
      <w:hyperlink r:id="rId21" w:history="1">
        <w:r>
          <w:rPr>
            <w:rFonts w:eastAsia="Arial"/>
            <w:color w:val="0000FF"/>
            <w:u w:val="single"/>
          </w:rPr>
          <w:t>Handbook</w:t>
        </w:r>
      </w:hyperlink>
      <w:r>
        <w:rPr>
          <w:rFonts w:eastAsia="Arial"/>
        </w:rPr>
        <w:t>; and</w:t>
      </w:r>
    </w:p>
    <w:p w14:paraId="03AEEDD5" w14:textId="77777777" w:rsidR="00964C26" w:rsidRDefault="009F0C94" w:rsidP="009F309C">
      <w:pPr>
        <w:pStyle w:val="MPLParagraphlevel2"/>
        <w:rPr>
          <w:rFonts w:eastAsia="Arial"/>
        </w:rPr>
      </w:pPr>
      <w:r>
        <w:rPr>
          <w:rFonts w:eastAsia="Arial"/>
        </w:rPr>
        <w:t>individually counsel the candidate on matters the candidate may wish to raise in confidence.</w:t>
      </w:r>
    </w:p>
    <w:p w14:paraId="68E6A92B" w14:textId="77777777" w:rsidR="00964C26" w:rsidRDefault="009F0C94" w:rsidP="009F309C">
      <w:pPr>
        <w:pStyle w:val="MPLParagraphlevel1"/>
      </w:pPr>
      <w:r>
        <w:t>The advisory committee chair must be:</w:t>
      </w:r>
    </w:p>
    <w:p w14:paraId="73F4B793" w14:textId="77777777" w:rsidR="00964C26" w:rsidRDefault="009F0C94" w:rsidP="009F309C">
      <w:pPr>
        <w:pStyle w:val="MPLParagraphlevel2"/>
        <w:rPr>
          <w:rFonts w:eastAsia="Arial"/>
        </w:rPr>
      </w:pPr>
      <w:r>
        <w:rPr>
          <w:rFonts w:eastAsia="Arial"/>
        </w:rPr>
        <w:t>an academic staff member of the candidate’s faculty;</w:t>
      </w:r>
    </w:p>
    <w:p w14:paraId="0E338442" w14:textId="77777777" w:rsidR="00964C26" w:rsidRDefault="009F0C94" w:rsidP="009F309C">
      <w:pPr>
        <w:pStyle w:val="MPLParagraphlevel2"/>
        <w:rPr>
          <w:rFonts w:eastAsia="Arial"/>
        </w:rPr>
      </w:pPr>
      <w:r>
        <w:rPr>
          <w:rFonts w:eastAsia="Arial"/>
        </w:rPr>
        <w:t>a person registered as a principal supervisor but not the candidate’s supervisor or a person associated with the research project; and</w:t>
      </w:r>
    </w:p>
    <w:p w14:paraId="69658335" w14:textId="77777777" w:rsidR="00964C26" w:rsidRDefault="009F0C94" w:rsidP="009F309C">
      <w:pPr>
        <w:pStyle w:val="MPLParagraphlevel2"/>
        <w:rPr>
          <w:rFonts w:eastAsia="Arial"/>
        </w:rPr>
      </w:pPr>
      <w:r>
        <w:rPr>
          <w:rFonts w:eastAsia="Arial"/>
        </w:rPr>
        <w:t>appointed by the candidate’s head of department.</w:t>
      </w:r>
    </w:p>
    <w:p w14:paraId="76678109" w14:textId="77777777" w:rsidR="00964C26" w:rsidRDefault="009F0C94" w:rsidP="009F309C">
      <w:pPr>
        <w:pStyle w:val="MPLParagraphlevel1"/>
      </w:pPr>
      <w:r>
        <w:t>The advisory committee chair must:</w:t>
      </w:r>
    </w:p>
    <w:p w14:paraId="7BCE2EFA" w14:textId="77777777" w:rsidR="00964C26" w:rsidRDefault="009F0C94" w:rsidP="009F309C">
      <w:pPr>
        <w:pStyle w:val="MPLParagraphlevel2"/>
        <w:rPr>
          <w:rFonts w:eastAsia="Arial"/>
        </w:rPr>
      </w:pPr>
      <w:r>
        <w:rPr>
          <w:rFonts w:eastAsia="Arial"/>
        </w:rPr>
        <w:t>ensure the committee fulfils its responsibilities;</w:t>
      </w:r>
    </w:p>
    <w:p w14:paraId="2FED1EA3" w14:textId="77777777" w:rsidR="00964C26" w:rsidRDefault="009F0C94" w:rsidP="009F309C">
      <w:pPr>
        <w:pStyle w:val="MPLParagraphlevel2"/>
        <w:rPr>
          <w:rFonts w:eastAsia="Arial"/>
        </w:rPr>
      </w:pPr>
      <w:r>
        <w:rPr>
          <w:rFonts w:eastAsia="Arial"/>
        </w:rPr>
        <w:t>advise and support the candidate and their supervisors; and</w:t>
      </w:r>
    </w:p>
    <w:p w14:paraId="36BD29C2" w14:textId="77777777" w:rsidR="00964C26" w:rsidRDefault="009F0C94" w:rsidP="009F309C">
      <w:pPr>
        <w:pStyle w:val="MPLParagraphlevel2"/>
        <w:rPr>
          <w:rFonts w:eastAsia="Arial"/>
        </w:rPr>
      </w:pPr>
      <w:r>
        <w:rPr>
          <w:rFonts w:eastAsia="Arial"/>
        </w:rPr>
        <w:t>convene meetings of the advisory committee.</w:t>
      </w:r>
    </w:p>
    <w:p w14:paraId="11F7C974" w14:textId="77777777" w:rsidR="00964C26" w:rsidRDefault="009F0C94" w:rsidP="009F309C">
      <w:pPr>
        <w:pStyle w:val="MPFSubheading"/>
      </w:pPr>
      <w:r>
        <w:lastRenderedPageBreak/>
        <w:t>Full or part-time study and course duration</w:t>
      </w:r>
    </w:p>
    <w:p w14:paraId="69F80FAD" w14:textId="77777777" w:rsidR="00964C26" w:rsidRDefault="009F0C94" w:rsidP="009F309C">
      <w:pPr>
        <w:pStyle w:val="MPLParagraphlevel1"/>
      </w:pPr>
      <w:r>
        <w:t>Candidates may apply to study full or part-time. When making decisions on applications to study full or part-time, factors that the dean considers include:</w:t>
      </w:r>
    </w:p>
    <w:p w14:paraId="6C7E43F3" w14:textId="77777777" w:rsidR="00964C26" w:rsidRDefault="009F0C94" w:rsidP="009F309C">
      <w:pPr>
        <w:pStyle w:val="MPLParagraphlevel2"/>
        <w:rPr>
          <w:rFonts w:eastAsia="Arial"/>
        </w:rPr>
      </w:pPr>
      <w:r>
        <w:rPr>
          <w:rFonts w:eastAsia="Arial"/>
        </w:rPr>
        <w:t>expected course duration;</w:t>
      </w:r>
    </w:p>
    <w:p w14:paraId="4301B4E4" w14:textId="77777777" w:rsidR="00964C26" w:rsidRDefault="009F0C94" w:rsidP="009F309C">
      <w:pPr>
        <w:pStyle w:val="MPLParagraphlevel2"/>
        <w:rPr>
          <w:rFonts w:eastAsia="Arial"/>
        </w:rPr>
      </w:pPr>
      <w:r>
        <w:rPr>
          <w:rFonts w:eastAsia="Arial"/>
        </w:rPr>
        <w:t>scholarship requirements;</w:t>
      </w:r>
    </w:p>
    <w:p w14:paraId="33857328" w14:textId="77777777" w:rsidR="00964C26" w:rsidRDefault="009F0C94" w:rsidP="009F309C">
      <w:pPr>
        <w:pStyle w:val="MPLParagraphlevel2"/>
        <w:rPr>
          <w:rFonts w:eastAsia="Arial"/>
        </w:rPr>
      </w:pPr>
      <w:r>
        <w:rPr>
          <w:rFonts w:eastAsia="Arial"/>
        </w:rPr>
        <w:t>course requirements;</w:t>
      </w:r>
    </w:p>
    <w:p w14:paraId="219FA7B1" w14:textId="77777777" w:rsidR="00964C26" w:rsidRDefault="009F0C94" w:rsidP="009F309C">
      <w:pPr>
        <w:pStyle w:val="MPLParagraphlevel2"/>
        <w:rPr>
          <w:rFonts w:eastAsia="Arial"/>
        </w:rPr>
      </w:pPr>
      <w:r>
        <w:rPr>
          <w:rFonts w:eastAsia="Arial"/>
        </w:rPr>
        <w:t>regulatory requirements;</w:t>
      </w:r>
    </w:p>
    <w:p w14:paraId="04F0E2D5" w14:textId="77777777" w:rsidR="00964C26" w:rsidRDefault="009F0C94" w:rsidP="009F309C">
      <w:pPr>
        <w:pStyle w:val="MPLParagraphlevel2"/>
        <w:rPr>
          <w:rFonts w:eastAsia="Arial"/>
        </w:rPr>
      </w:pPr>
      <w:r>
        <w:rPr>
          <w:rFonts w:eastAsia="Arial"/>
        </w:rPr>
        <w:t>the needs of the candidate; and</w:t>
      </w:r>
    </w:p>
    <w:p w14:paraId="283ABB54" w14:textId="77777777" w:rsidR="00964C26" w:rsidRDefault="009F0C94" w:rsidP="009F309C">
      <w:pPr>
        <w:pStyle w:val="MPLParagraphlevel2"/>
        <w:rPr>
          <w:rFonts w:eastAsia="Arial"/>
        </w:rPr>
      </w:pPr>
      <w:r>
        <w:rPr>
          <w:rFonts w:eastAsia="Arial"/>
        </w:rPr>
        <w:t>the candidate's academic progress.</w:t>
      </w:r>
    </w:p>
    <w:p w14:paraId="703156F6" w14:textId="77777777" w:rsidR="00964C26" w:rsidRDefault="009F0C94" w:rsidP="009F309C">
      <w:pPr>
        <w:pStyle w:val="MPLParagraphlevel1"/>
      </w:pPr>
      <w:r>
        <w:t>International candidates holding student visas are required to complete their course within the duration specified in the offer letter except in limited circumstances.</w:t>
      </w:r>
    </w:p>
    <w:p w14:paraId="2FE20637" w14:textId="77777777" w:rsidR="00964C26" w:rsidRDefault="009F0C94" w:rsidP="009F309C">
      <w:pPr>
        <w:pStyle w:val="MPLParagraphlevel1"/>
      </w:pPr>
      <w:r>
        <w:t>Onshore international candidates holding student visas may take less than a standard full-time load only if they have approval from the University, and one or both of the following apply:</w:t>
      </w:r>
    </w:p>
    <w:p w14:paraId="0D1546B9" w14:textId="77777777" w:rsidR="00964C26" w:rsidRDefault="009F0C94" w:rsidP="009F309C">
      <w:pPr>
        <w:pStyle w:val="MPLParagraphlevel2"/>
        <w:rPr>
          <w:rFonts w:eastAsia="Arial"/>
        </w:rPr>
      </w:pPr>
      <w:r>
        <w:rPr>
          <w:rFonts w:eastAsia="Arial"/>
        </w:rPr>
        <w:t>they have compassionate or compelling circumstances; and/or</w:t>
      </w:r>
    </w:p>
    <w:p w14:paraId="0446D96A" w14:textId="77777777" w:rsidR="00964C26" w:rsidRDefault="009F0C94" w:rsidP="009F309C">
      <w:pPr>
        <w:pStyle w:val="MPLParagraphlevel2"/>
        <w:rPr>
          <w:rFonts w:eastAsia="Arial"/>
        </w:rPr>
      </w:pPr>
      <w:r>
        <w:rPr>
          <w:rFonts w:eastAsia="Arial"/>
        </w:rPr>
        <w:t>an intervention strategy has</w:t>
      </w:r>
      <w:r w:rsidRPr="009F309C">
        <w:t xml:space="preserve"> been activated under the Academic Progress Review Policy (Graduate Research) </w:t>
      </w:r>
      <w:r w:rsidR="009F309C">
        <w:t>(</w:t>
      </w:r>
      <w:hyperlink r:id="rId22" w:history="1">
        <w:r w:rsidR="009F309C" w:rsidRPr="009F309C">
          <w:rPr>
            <w:rStyle w:val="Hyperlink"/>
          </w:rPr>
          <w:t>MPF1363</w:t>
        </w:r>
      </w:hyperlink>
      <w:r w:rsidR="009F309C">
        <w:t xml:space="preserve">) </w:t>
      </w:r>
      <w:r w:rsidRPr="009F309C">
        <w:t>requirements</w:t>
      </w:r>
      <w:r>
        <w:rPr>
          <w:rFonts w:eastAsia="Arial"/>
        </w:rPr>
        <w:t>.</w:t>
      </w:r>
    </w:p>
    <w:p w14:paraId="2D0F5F72" w14:textId="77777777" w:rsidR="00964C26" w:rsidRDefault="009F0C94" w:rsidP="009F309C">
      <w:pPr>
        <w:pStyle w:val="MPLParagraphlevel1"/>
      </w:pPr>
      <w:r>
        <w:t>Full-time candidates are admitted for the usual course duration.</w:t>
      </w:r>
    </w:p>
    <w:p w14:paraId="41CD6B23" w14:textId="77777777" w:rsidR="00964C26" w:rsidRDefault="009F0C94" w:rsidP="009F309C">
      <w:pPr>
        <w:pStyle w:val="MPLParagraphlevel1"/>
      </w:pPr>
      <w:r>
        <w:t xml:space="preserve">Part-time candidates are admitted for twice the usual course duration specified in the </w:t>
      </w:r>
      <w:hyperlink r:id="rId23" w:history="1">
        <w:r>
          <w:rPr>
            <w:color w:val="0000FF"/>
            <w:u w:val="single"/>
          </w:rPr>
          <w:t>Handbook,</w:t>
        </w:r>
      </w:hyperlink>
      <w:r>
        <w:t xml:space="preserve"> on a pro-rata basis.</w:t>
      </w:r>
    </w:p>
    <w:p w14:paraId="0093E593" w14:textId="77777777" w:rsidR="00964C26" w:rsidRDefault="009F0C94" w:rsidP="009F309C">
      <w:pPr>
        <w:pStyle w:val="MPLParagraphlevel1"/>
      </w:pPr>
      <w:r>
        <w:t>The University may impose a fee on candidates for an extension of candidature beyond the maximum RTP entitlement.</w:t>
      </w:r>
    </w:p>
    <w:p w14:paraId="44DAF34C" w14:textId="77777777" w:rsidR="00964C26" w:rsidRDefault="009F0C94" w:rsidP="009F309C">
      <w:pPr>
        <w:pStyle w:val="MPLParagraphlevel1"/>
      </w:pPr>
      <w:r>
        <w:t>Candidates must make themselves aware of the expiration dates of any scholarships or sponsorships they hold.</w:t>
      </w:r>
    </w:p>
    <w:p w14:paraId="1EB47B9C" w14:textId="0243C2DA" w:rsidR="00964C26" w:rsidRDefault="009F0C94" w:rsidP="009F309C">
      <w:pPr>
        <w:pStyle w:val="MPLParagraphlevel1"/>
      </w:pPr>
      <w:r>
        <w:t>Candidates must complete the minimum period of candidature and meet the examination requirements of this policy to be eligible to submit their thesis for examination.</w:t>
      </w:r>
    </w:p>
    <w:p w14:paraId="0CF6DC2D" w14:textId="77777777" w:rsidR="00964C26" w:rsidRDefault="009F0C94" w:rsidP="009F309C">
      <w:pPr>
        <w:pStyle w:val="MPFSubheading"/>
      </w:pPr>
      <w:r>
        <w:t>Probationary candidature</w:t>
      </w:r>
    </w:p>
    <w:p w14:paraId="75696F47" w14:textId="77777777" w:rsidR="00964C26" w:rsidRDefault="009F0C94" w:rsidP="009F309C">
      <w:pPr>
        <w:pStyle w:val="MPLParagraphlevel1"/>
      </w:pPr>
      <w:r>
        <w:t>All candidates are admitted on a probationary basis.</w:t>
      </w:r>
    </w:p>
    <w:p w14:paraId="68DEFB30" w14:textId="77777777" w:rsidR="00964C26" w:rsidRDefault="009F0C94" w:rsidP="009F309C">
      <w:pPr>
        <w:pStyle w:val="MPLParagraphlevel1"/>
      </w:pPr>
      <w:r>
        <w:t>The probationary periods are:</w:t>
      </w:r>
    </w:p>
    <w:p w14:paraId="4D575F24" w14:textId="77777777" w:rsidR="00964C26" w:rsidRDefault="009F0C94" w:rsidP="009F309C">
      <w:pPr>
        <w:pStyle w:val="MPLParagraphlevel2"/>
        <w:rPr>
          <w:rFonts w:eastAsia="Arial"/>
        </w:rPr>
      </w:pPr>
      <w:r>
        <w:rPr>
          <w:rFonts w:eastAsia="Arial"/>
        </w:rPr>
        <w:t xml:space="preserve">for a full-time </w:t>
      </w:r>
      <w:proofErr w:type="gramStart"/>
      <w:r>
        <w:rPr>
          <w:rFonts w:eastAsia="Arial"/>
        </w:rPr>
        <w:t>Master Degree</w:t>
      </w:r>
      <w:proofErr w:type="gramEnd"/>
      <w:r>
        <w:rPr>
          <w:rFonts w:eastAsia="Arial"/>
        </w:rPr>
        <w:t xml:space="preserve"> (Research) candidate - a minimum of three months and maximum of six months;</w:t>
      </w:r>
    </w:p>
    <w:p w14:paraId="2BE9C7D7" w14:textId="77777777" w:rsidR="00964C26" w:rsidRDefault="009F0C94" w:rsidP="009F309C">
      <w:pPr>
        <w:pStyle w:val="MPLParagraphlevel2"/>
        <w:rPr>
          <w:rFonts w:eastAsia="Arial"/>
        </w:rPr>
      </w:pPr>
      <w:r>
        <w:rPr>
          <w:rFonts w:eastAsia="Arial"/>
        </w:rPr>
        <w:t>for a full-time Doctoral Degree (Research) candidate - a minimum of six months and maximum of 12 months;</w:t>
      </w:r>
    </w:p>
    <w:p w14:paraId="42A43BD4" w14:textId="77777777" w:rsidR="00964C26" w:rsidRDefault="009F0C94" w:rsidP="009F309C">
      <w:pPr>
        <w:pStyle w:val="MPLParagraphlevel2"/>
        <w:rPr>
          <w:rFonts w:eastAsia="Arial"/>
        </w:rPr>
      </w:pPr>
      <w:r>
        <w:rPr>
          <w:rFonts w:eastAsia="Arial"/>
        </w:rPr>
        <w:t>for part-time candidates - twice that for a full-time candidate in the relevant course type; or</w:t>
      </w:r>
    </w:p>
    <w:p w14:paraId="3197FAC0" w14:textId="77777777" w:rsidR="00964C26" w:rsidRDefault="009F309C" w:rsidP="009F309C">
      <w:pPr>
        <w:pStyle w:val="MPLParagraphlevel2"/>
        <w:rPr>
          <w:rFonts w:eastAsia="Arial"/>
        </w:rPr>
      </w:pPr>
      <w:r>
        <w:rPr>
          <w:rFonts w:eastAsia="Arial"/>
        </w:rPr>
        <w:t>f</w:t>
      </w:r>
      <w:r w:rsidR="009F0C94">
        <w:rPr>
          <w:rFonts w:eastAsia="Arial"/>
        </w:rPr>
        <w:t>or Doctoral Degree (Research) candidates who are required to complete 75 credit points or more of coursework subjects prior to confirmation - a maximum of 18 months.</w:t>
      </w:r>
    </w:p>
    <w:p w14:paraId="2E7B5D36" w14:textId="77777777" w:rsidR="00964C26" w:rsidRDefault="009F0C94" w:rsidP="009F309C">
      <w:pPr>
        <w:pStyle w:val="MPLParagraphlevel1"/>
      </w:pPr>
      <w:r>
        <w:t>In exceptional circumstances a dean may grant one extension to the probationary period, as follows:</w:t>
      </w:r>
    </w:p>
    <w:p w14:paraId="4DB3A2B4" w14:textId="77777777" w:rsidR="00964C26" w:rsidRDefault="009F0C94" w:rsidP="009F309C">
      <w:pPr>
        <w:pStyle w:val="MPLParagraphlevel2"/>
        <w:rPr>
          <w:rFonts w:eastAsia="Arial"/>
        </w:rPr>
      </w:pPr>
      <w:r>
        <w:rPr>
          <w:rFonts w:eastAsia="Arial"/>
        </w:rPr>
        <w:lastRenderedPageBreak/>
        <w:t xml:space="preserve">full-time </w:t>
      </w:r>
      <w:proofErr w:type="gramStart"/>
      <w:r>
        <w:rPr>
          <w:rFonts w:eastAsia="Arial"/>
        </w:rPr>
        <w:t>Master Degree</w:t>
      </w:r>
      <w:proofErr w:type="gramEnd"/>
      <w:r>
        <w:rPr>
          <w:rFonts w:eastAsia="Arial"/>
        </w:rPr>
        <w:t xml:space="preserve"> (Research) candidates - six weeks;</w:t>
      </w:r>
    </w:p>
    <w:p w14:paraId="7F75B52B" w14:textId="77777777" w:rsidR="00964C26" w:rsidRDefault="009F0C94" w:rsidP="009F309C">
      <w:pPr>
        <w:pStyle w:val="MPLParagraphlevel2"/>
        <w:rPr>
          <w:rFonts w:eastAsia="Arial"/>
        </w:rPr>
      </w:pPr>
      <w:r>
        <w:rPr>
          <w:rFonts w:eastAsia="Arial"/>
        </w:rPr>
        <w:t>full-time Doctoral Degree (Research) candidates - three months; or</w:t>
      </w:r>
    </w:p>
    <w:p w14:paraId="61B43465" w14:textId="77777777" w:rsidR="00964C26" w:rsidRDefault="009F0C94" w:rsidP="009F309C">
      <w:pPr>
        <w:pStyle w:val="MPLParagraphlevel2"/>
        <w:rPr>
          <w:rFonts w:eastAsia="Arial"/>
        </w:rPr>
      </w:pPr>
      <w:r>
        <w:rPr>
          <w:rFonts w:eastAsia="Arial"/>
        </w:rPr>
        <w:t>part-time candidates, twice that for a full-time candidate in the relevant course type.</w:t>
      </w:r>
    </w:p>
    <w:p w14:paraId="594AF79B" w14:textId="77777777" w:rsidR="00964C26" w:rsidRPr="009F309C" w:rsidRDefault="009F0C94" w:rsidP="009F309C">
      <w:pPr>
        <w:pStyle w:val="MPLParagraphlevel1"/>
      </w:pPr>
      <w:r w:rsidRPr="009F309C">
        <w:t xml:space="preserve">For candidates in any category described in 4.37 enrolled </w:t>
      </w:r>
      <w:proofErr w:type="gramStart"/>
      <w:r w:rsidRPr="009F309C">
        <w:t>at</w:t>
      </w:r>
      <w:proofErr w:type="gramEnd"/>
      <w:r w:rsidRPr="009F309C">
        <w:t xml:space="preserve"> 1 March 2020, a dean may grant an additional extension to the probationary period of up to six calendar months. The extension of time taken at this point contributes to the time of the total time (EFT), and is not additional to the time allowed for at 4.78A and 4.87A of the Courses, Subjects, Awards and Programs Policy</w:t>
      </w:r>
      <w:r w:rsidR="009F309C">
        <w:t xml:space="preserve"> (</w:t>
      </w:r>
      <w:hyperlink r:id="rId24" w:history="1">
        <w:r w:rsidR="009F309C" w:rsidRPr="009F309C">
          <w:rPr>
            <w:rStyle w:val="Hyperlink"/>
          </w:rPr>
          <w:t>MPF1327</w:t>
        </w:r>
      </w:hyperlink>
      <w:r w:rsidR="009F309C">
        <w:t>)</w:t>
      </w:r>
      <w:r w:rsidRPr="009F309C">
        <w:t>.</w:t>
      </w:r>
    </w:p>
    <w:p w14:paraId="2C09EB3F" w14:textId="77777777" w:rsidR="00964C26" w:rsidRDefault="009F0C94" w:rsidP="009F309C">
      <w:pPr>
        <w:pStyle w:val="MPFSubheading"/>
      </w:pPr>
      <w:r>
        <w:t>Candidature conditions</w:t>
      </w:r>
    </w:p>
    <w:p w14:paraId="1392A5FB" w14:textId="77777777" w:rsidR="00964C26" w:rsidRDefault="009F0C94" w:rsidP="006567E0">
      <w:pPr>
        <w:pStyle w:val="MPLParagraphlevel1"/>
      </w:pPr>
      <w:r>
        <w:t>Candidates must:</w:t>
      </w:r>
    </w:p>
    <w:p w14:paraId="7BF65CB5" w14:textId="77777777" w:rsidR="00964C26" w:rsidRDefault="009F0C94" w:rsidP="006567E0">
      <w:pPr>
        <w:pStyle w:val="MPLParagraphlevel2"/>
        <w:rPr>
          <w:rFonts w:eastAsia="Arial"/>
        </w:rPr>
      </w:pPr>
      <w:r>
        <w:rPr>
          <w:rFonts w:eastAsia="Arial"/>
        </w:rPr>
        <w:t>access enrolment information;</w:t>
      </w:r>
    </w:p>
    <w:p w14:paraId="354F7361" w14:textId="77777777" w:rsidR="00964C26" w:rsidRDefault="009F0C94" w:rsidP="006567E0">
      <w:pPr>
        <w:pStyle w:val="MPLParagraphlevel2"/>
        <w:rPr>
          <w:rFonts w:eastAsia="Arial"/>
        </w:rPr>
      </w:pPr>
      <w:r>
        <w:rPr>
          <w:rFonts w:eastAsia="Arial"/>
        </w:rPr>
        <w:t>ensure their enrolment meets course requirements and is consistent with approved course structures;</w:t>
      </w:r>
    </w:p>
    <w:p w14:paraId="440A322B" w14:textId="77777777" w:rsidR="00964C26" w:rsidRDefault="009F0C94" w:rsidP="006567E0">
      <w:pPr>
        <w:pStyle w:val="MPLParagraphlevel2"/>
        <w:rPr>
          <w:rFonts w:eastAsia="Arial"/>
        </w:rPr>
      </w:pPr>
      <w:r>
        <w:rPr>
          <w:rFonts w:eastAsia="Arial"/>
        </w:rPr>
        <w:t>ensure their enrolment meets scholarship and/or sponsorship requirements; and</w:t>
      </w:r>
    </w:p>
    <w:p w14:paraId="563384F8" w14:textId="77777777" w:rsidR="00964C26" w:rsidRDefault="009F0C94" w:rsidP="006567E0">
      <w:pPr>
        <w:pStyle w:val="MPLParagraphlevel2"/>
        <w:rPr>
          <w:rFonts w:eastAsia="Arial"/>
        </w:rPr>
      </w:pPr>
      <w:proofErr w:type="spellStart"/>
      <w:r>
        <w:rPr>
          <w:rFonts w:eastAsia="Arial"/>
        </w:rPr>
        <w:t>enrol</w:t>
      </w:r>
      <w:proofErr w:type="spellEnd"/>
      <w:r>
        <w:rPr>
          <w:rFonts w:eastAsia="Arial"/>
        </w:rPr>
        <w:t xml:space="preserve"> in and register for coursework subjects as required.</w:t>
      </w:r>
    </w:p>
    <w:p w14:paraId="118106C6" w14:textId="77777777" w:rsidR="00964C26" w:rsidRDefault="009F0C94" w:rsidP="006567E0">
      <w:pPr>
        <w:pStyle w:val="MPLParagraphlevel1"/>
      </w:pPr>
      <w:r>
        <w:t>Candidates and their supervisors must confirm:</w:t>
      </w:r>
    </w:p>
    <w:p w14:paraId="1DED83E4" w14:textId="77777777" w:rsidR="00964C26" w:rsidRDefault="009F0C94" w:rsidP="006567E0">
      <w:pPr>
        <w:pStyle w:val="MPLParagraphlevel2"/>
        <w:rPr>
          <w:rFonts w:eastAsia="Arial"/>
        </w:rPr>
      </w:pPr>
      <w:r>
        <w:rPr>
          <w:rFonts w:eastAsia="Arial"/>
        </w:rPr>
        <w:t>supervisory expectations and arrangements; and</w:t>
      </w:r>
    </w:p>
    <w:p w14:paraId="3BE990E1" w14:textId="77777777" w:rsidR="00964C26" w:rsidRDefault="009F0C94" w:rsidP="006567E0">
      <w:pPr>
        <w:pStyle w:val="MPLParagraphlevel2"/>
        <w:rPr>
          <w:rFonts w:eastAsia="Arial"/>
        </w:rPr>
      </w:pPr>
      <w:r>
        <w:rPr>
          <w:rFonts w:eastAsia="Arial"/>
        </w:rPr>
        <w:t>a schedule of supervisory meetings.</w:t>
      </w:r>
    </w:p>
    <w:p w14:paraId="0A67D36B" w14:textId="77777777" w:rsidR="00964C26" w:rsidRDefault="009F0C94" w:rsidP="006567E0">
      <w:pPr>
        <w:pStyle w:val="MPLParagraphlevel1"/>
      </w:pPr>
      <w:r>
        <w:t>To maintain candidature, candidates must:</w:t>
      </w:r>
    </w:p>
    <w:p w14:paraId="4C2674E1" w14:textId="77777777" w:rsidR="00964C26" w:rsidRDefault="009F0C94" w:rsidP="006567E0">
      <w:pPr>
        <w:pStyle w:val="MPLParagraphlevel2"/>
        <w:rPr>
          <w:rFonts w:eastAsia="Arial"/>
        </w:rPr>
      </w:pPr>
      <w:r>
        <w:rPr>
          <w:rFonts w:eastAsia="Arial"/>
        </w:rPr>
        <w:t>maintain satisfactory academic progress (see also Academic Progress Review Policy (Graduate Research);</w:t>
      </w:r>
    </w:p>
    <w:p w14:paraId="7A5EC0BD" w14:textId="77777777" w:rsidR="00964C26" w:rsidRDefault="009F0C94" w:rsidP="006567E0">
      <w:pPr>
        <w:pStyle w:val="MPLParagraphlevel2"/>
        <w:rPr>
          <w:rFonts w:eastAsia="Arial"/>
        </w:rPr>
      </w:pPr>
      <w:r>
        <w:rPr>
          <w:rFonts w:eastAsia="Arial"/>
        </w:rPr>
        <w:t>complete all prescribed academic progress review requirements (see also Academic Progress Review Policy (Graduate Research); and</w:t>
      </w:r>
    </w:p>
    <w:p w14:paraId="20150D2C" w14:textId="77777777" w:rsidR="00964C26" w:rsidRDefault="009F0C94" w:rsidP="006567E0">
      <w:pPr>
        <w:pStyle w:val="MPLParagraphlevel2"/>
        <w:rPr>
          <w:rFonts w:eastAsia="Arial"/>
        </w:rPr>
      </w:pPr>
      <w:r>
        <w:rPr>
          <w:rFonts w:eastAsia="Arial"/>
        </w:rPr>
        <w:t>agree to the University's terms and conditions of enrolment each year.</w:t>
      </w:r>
    </w:p>
    <w:p w14:paraId="62A703DC" w14:textId="77777777" w:rsidR="00964C26" w:rsidRDefault="00EE4D02" w:rsidP="006567E0">
      <w:pPr>
        <w:pStyle w:val="MPLParagraphlevel1"/>
      </w:pPr>
      <w:r>
        <w:t xml:space="preserve">In accordance with relevant University legislation and policy, </w:t>
      </w:r>
      <w:r w:rsidR="006567E0">
        <w:t>t</w:t>
      </w:r>
      <w:r w:rsidR="009F0C94">
        <w:t>he relevant dean or the Vice-Chancellor may suspend, vary the terms of, or terminate a candidate’s candidature for failure to comply with the:</w:t>
      </w:r>
    </w:p>
    <w:p w14:paraId="3C4BF593" w14:textId="77777777" w:rsidR="00964C26" w:rsidRDefault="009F0C94" w:rsidP="006567E0">
      <w:pPr>
        <w:pStyle w:val="MPLParagraphlevel2"/>
        <w:rPr>
          <w:rFonts w:eastAsia="Arial"/>
        </w:rPr>
      </w:pPr>
      <w:r>
        <w:rPr>
          <w:rFonts w:eastAsia="Arial"/>
        </w:rPr>
        <w:t>relevant statutes, regulations, policies and processes of the University;</w:t>
      </w:r>
    </w:p>
    <w:p w14:paraId="4918DC66" w14:textId="77777777" w:rsidR="00964C26" w:rsidRDefault="009F0C94" w:rsidP="006567E0">
      <w:pPr>
        <w:pStyle w:val="MPLParagraphlevel2"/>
        <w:rPr>
          <w:rFonts w:eastAsia="Arial"/>
        </w:rPr>
      </w:pPr>
      <w:r>
        <w:rPr>
          <w:rFonts w:eastAsia="Arial"/>
        </w:rPr>
        <w:t>lawful instructions of officers of the University; or</w:t>
      </w:r>
    </w:p>
    <w:p w14:paraId="59CC0048" w14:textId="77777777" w:rsidR="00964C26" w:rsidRDefault="009F0C94" w:rsidP="006567E0">
      <w:pPr>
        <w:pStyle w:val="MPLParagraphlevel2"/>
        <w:rPr>
          <w:rFonts w:eastAsia="Arial"/>
        </w:rPr>
      </w:pPr>
      <w:r>
        <w:rPr>
          <w:rFonts w:eastAsia="Arial"/>
        </w:rPr>
        <w:t>conditions of admission, enrolment or examination in their course.</w:t>
      </w:r>
    </w:p>
    <w:p w14:paraId="0233B216" w14:textId="77777777" w:rsidR="00964C26" w:rsidRDefault="009F0C94" w:rsidP="006567E0">
      <w:pPr>
        <w:pStyle w:val="MPLParagraphlevel1"/>
      </w:pPr>
      <w:r>
        <w:t xml:space="preserve">Where a candidate is suspended for </w:t>
      </w:r>
      <w:r w:rsidR="00D204B9">
        <w:t xml:space="preserve">student academic or student general </w:t>
      </w:r>
      <w:r>
        <w:t>misconduct the suspension period (in time) is counted towards the candidature entitlement period, the expected course duration for the relevant course, and the maximum submission date for examination are not adjusted.</w:t>
      </w:r>
    </w:p>
    <w:p w14:paraId="1443A700" w14:textId="77777777" w:rsidR="00964C26" w:rsidRDefault="009F0C94" w:rsidP="006567E0">
      <w:pPr>
        <w:pStyle w:val="MPLParagraphlevel1"/>
      </w:pPr>
      <w:r>
        <w:t>A dean may impose a range of conditions on candidates including:</w:t>
      </w:r>
    </w:p>
    <w:p w14:paraId="026A568A" w14:textId="77777777" w:rsidR="00964C26" w:rsidRDefault="006567E0" w:rsidP="006567E0">
      <w:pPr>
        <w:pStyle w:val="MPLParagraphlevel2"/>
        <w:rPr>
          <w:rFonts w:eastAsia="Arial"/>
        </w:rPr>
      </w:pPr>
      <w:r>
        <w:rPr>
          <w:rFonts w:eastAsia="Arial"/>
        </w:rPr>
        <w:t>r</w:t>
      </w:r>
      <w:r w:rsidR="009F0C94">
        <w:rPr>
          <w:rFonts w:eastAsia="Arial"/>
        </w:rPr>
        <w:t>equired levels of achievement and milestones;</w:t>
      </w:r>
    </w:p>
    <w:p w14:paraId="4486A4B4" w14:textId="77777777" w:rsidR="00964C26" w:rsidRDefault="009F0C94" w:rsidP="006567E0">
      <w:pPr>
        <w:pStyle w:val="MPLParagraphlevel2"/>
        <w:rPr>
          <w:rFonts w:eastAsia="Arial"/>
        </w:rPr>
      </w:pPr>
      <w:r>
        <w:rPr>
          <w:rFonts w:eastAsia="Arial"/>
        </w:rPr>
        <w:t>engagement with support services; and/or</w:t>
      </w:r>
    </w:p>
    <w:p w14:paraId="7C696C8C" w14:textId="77777777" w:rsidR="00964C26" w:rsidRDefault="009F0C94" w:rsidP="006567E0">
      <w:pPr>
        <w:pStyle w:val="MPLParagraphlevel2"/>
        <w:rPr>
          <w:rFonts w:eastAsia="Arial"/>
        </w:rPr>
      </w:pPr>
      <w:r>
        <w:rPr>
          <w:rFonts w:eastAsia="Arial"/>
        </w:rPr>
        <w:lastRenderedPageBreak/>
        <w:t>expected behaviour.</w:t>
      </w:r>
    </w:p>
    <w:p w14:paraId="737641EC" w14:textId="77777777" w:rsidR="00964C26" w:rsidRDefault="009F0C94" w:rsidP="006567E0">
      <w:pPr>
        <w:pStyle w:val="MPFSubheading"/>
      </w:pPr>
      <w:r>
        <w:t>Additional coursework</w:t>
      </w:r>
    </w:p>
    <w:p w14:paraId="1ACBFFBC" w14:textId="77777777" w:rsidR="00964C26" w:rsidRDefault="009F0C94" w:rsidP="006567E0">
      <w:pPr>
        <w:pStyle w:val="MPLParagraphlevel1"/>
      </w:pPr>
      <w:r>
        <w:t>Candidates may undertake additional coursework subjects to assist in the completion of their course:</w:t>
      </w:r>
    </w:p>
    <w:p w14:paraId="1F1E92A9" w14:textId="77777777" w:rsidR="00964C26" w:rsidRDefault="009F0C94" w:rsidP="006567E0">
      <w:pPr>
        <w:pStyle w:val="MPLParagraphlevel2"/>
        <w:rPr>
          <w:rFonts w:eastAsia="Arial"/>
        </w:rPr>
      </w:pPr>
      <w:r>
        <w:rPr>
          <w:rFonts w:eastAsia="Arial"/>
        </w:rPr>
        <w:t xml:space="preserve">with their supervisors’ and the subject </w:t>
      </w:r>
      <w:proofErr w:type="spellStart"/>
      <w:r>
        <w:rPr>
          <w:rFonts w:eastAsia="Arial"/>
        </w:rPr>
        <w:t>co-ordinator’s</w:t>
      </w:r>
      <w:proofErr w:type="spellEnd"/>
      <w:r>
        <w:rPr>
          <w:rFonts w:eastAsia="Arial"/>
        </w:rPr>
        <w:t xml:space="preserve"> approval; and</w:t>
      </w:r>
    </w:p>
    <w:p w14:paraId="72ED1C2F" w14:textId="77777777" w:rsidR="00964C26" w:rsidRDefault="009F0C94" w:rsidP="006567E0">
      <w:pPr>
        <w:pStyle w:val="MPLParagraphlevel2"/>
        <w:rPr>
          <w:rFonts w:eastAsia="Arial"/>
        </w:rPr>
      </w:pPr>
      <w:r>
        <w:rPr>
          <w:rFonts w:eastAsia="Arial"/>
        </w:rPr>
        <w:t>where undertaking the subjects will not cause a candidate to exceed the maximum coursework allowed, that is one-third of the usual course duration.</w:t>
      </w:r>
    </w:p>
    <w:p w14:paraId="0D5F1929" w14:textId="77777777" w:rsidR="00964C26" w:rsidRDefault="009F0C94" w:rsidP="006567E0">
      <w:pPr>
        <w:pStyle w:val="MPFSubheading"/>
      </w:pPr>
      <w:r>
        <w:t>Leave</w:t>
      </w:r>
    </w:p>
    <w:p w14:paraId="1454E488" w14:textId="77777777" w:rsidR="00964C26" w:rsidRDefault="009F0C94" w:rsidP="006567E0">
      <w:pPr>
        <w:pStyle w:val="MPLParagraphlevel1"/>
      </w:pPr>
      <w:r>
        <w:t xml:space="preserve">Periods of leave may be granted in accordance with </w:t>
      </w:r>
      <w:r w:rsidRPr="006567E0">
        <w:t>the Enrolment and Timetabling Policy</w:t>
      </w:r>
      <w:r w:rsidR="006567E0">
        <w:t xml:space="preserve"> (</w:t>
      </w:r>
      <w:hyperlink r:id="rId25" w:history="1">
        <w:r w:rsidR="006567E0" w:rsidRPr="006567E0">
          <w:rPr>
            <w:rStyle w:val="Hyperlink"/>
          </w:rPr>
          <w:t>MPF1209</w:t>
        </w:r>
      </w:hyperlink>
      <w:r w:rsidR="006567E0">
        <w:t>)</w:t>
      </w:r>
      <w:r w:rsidRPr="006567E0">
        <w:t>, but must not conflict with the candidature entitlement period, the</w:t>
      </w:r>
      <w:r>
        <w:t xml:space="preserve"> expected course duration for the relevant course, the maximum submission date for examination, or any relevant scholarship requirements.</w:t>
      </w:r>
    </w:p>
    <w:p w14:paraId="17CFF672" w14:textId="77777777" w:rsidR="00964C26" w:rsidRDefault="009F0C94" w:rsidP="006567E0">
      <w:pPr>
        <w:pStyle w:val="MPFSubheading"/>
      </w:pPr>
      <w:r>
        <w:t>Study away from the University</w:t>
      </w:r>
    </w:p>
    <w:p w14:paraId="202E405E" w14:textId="77777777" w:rsidR="00964C26" w:rsidRDefault="009F0C94" w:rsidP="006567E0">
      <w:pPr>
        <w:pStyle w:val="MPLParagraphlevel1"/>
      </w:pPr>
      <w:r>
        <w:t xml:space="preserve">Candidates who spend </w:t>
      </w:r>
      <w:proofErr w:type="gramStart"/>
      <w:r>
        <w:t>a period of time</w:t>
      </w:r>
      <w:proofErr w:type="gramEnd"/>
      <w:r>
        <w:t xml:space="preserve"> away from the University on research-related activities must comply w</w:t>
      </w:r>
      <w:r w:rsidRPr="006567E0">
        <w:t>ith all relevant legislation, this policy and the Student Travel and Transport Policy</w:t>
      </w:r>
      <w:r w:rsidR="006567E0">
        <w:t xml:space="preserve"> (</w:t>
      </w:r>
      <w:hyperlink r:id="rId26" w:history="1">
        <w:r w:rsidR="006567E0" w:rsidRPr="006567E0">
          <w:rPr>
            <w:rStyle w:val="Hyperlink"/>
          </w:rPr>
          <w:t>MPF1209</w:t>
        </w:r>
      </w:hyperlink>
      <w:r w:rsidR="006567E0">
        <w:t>)</w:t>
      </w:r>
      <w:r w:rsidRPr="006567E0">
        <w:t>.</w:t>
      </w:r>
    </w:p>
    <w:p w14:paraId="29681E88" w14:textId="77777777" w:rsidR="00964C26" w:rsidRDefault="009F0C94" w:rsidP="006567E0">
      <w:pPr>
        <w:pStyle w:val="MPLParagraphlevel1"/>
      </w:pPr>
      <w:r>
        <w:t>Time spent studying away from the University is counted towards the candidature entitlement period.</w:t>
      </w:r>
    </w:p>
    <w:p w14:paraId="1A680CB8" w14:textId="77777777" w:rsidR="00964C26" w:rsidRDefault="009F0C94" w:rsidP="006567E0">
      <w:pPr>
        <w:pStyle w:val="MPLParagraphlevel1"/>
      </w:pPr>
      <w:r>
        <w:t>Candidates who are studying away must meet all candidature related requirements including academic progress reviews and submission deadlines.</w:t>
      </w:r>
    </w:p>
    <w:p w14:paraId="24BCA2FF" w14:textId="77777777" w:rsidR="00964C26" w:rsidRDefault="009F0C94" w:rsidP="006567E0">
      <w:pPr>
        <w:pStyle w:val="MPLParagraphlevel1"/>
      </w:pPr>
      <w:r>
        <w:t>The dean must assign an external supervisor located near the candidate for periods of study away of three months or more. Where that is not possible the candidate and their supervisors must maintain sufficient contact to support the candidate.</w:t>
      </w:r>
    </w:p>
    <w:p w14:paraId="73C5D44B" w14:textId="77777777" w:rsidR="00964C26" w:rsidRDefault="009F0C94" w:rsidP="006567E0">
      <w:pPr>
        <w:pStyle w:val="MPFSubheading"/>
      </w:pPr>
      <w:r>
        <w:t>Other variations to candidature</w:t>
      </w:r>
    </w:p>
    <w:p w14:paraId="076E4247" w14:textId="77777777" w:rsidR="00964C26" w:rsidRDefault="009F0C94" w:rsidP="006567E0">
      <w:pPr>
        <w:pStyle w:val="MPLParagraphlevel1"/>
      </w:pPr>
      <w:r>
        <w:t>Candidates may apply to vary a condition of their candidature after commencement in their course, including:</w:t>
      </w:r>
    </w:p>
    <w:p w14:paraId="2BF1492E" w14:textId="77777777" w:rsidR="00964C26" w:rsidRDefault="009F0C94" w:rsidP="006567E0">
      <w:pPr>
        <w:pStyle w:val="MPLParagraphlevel2"/>
        <w:rPr>
          <w:rFonts w:eastAsia="Arial"/>
        </w:rPr>
      </w:pPr>
      <w:r>
        <w:rPr>
          <w:rFonts w:eastAsia="Arial"/>
        </w:rPr>
        <w:t>change between full and part-time enrolment;</w:t>
      </w:r>
    </w:p>
    <w:p w14:paraId="629123B4" w14:textId="77777777" w:rsidR="00964C26" w:rsidRDefault="009F0C94" w:rsidP="006567E0">
      <w:pPr>
        <w:pStyle w:val="MPLParagraphlevel2"/>
        <w:rPr>
          <w:rFonts w:eastAsia="Arial"/>
        </w:rPr>
      </w:pPr>
      <w:r>
        <w:rPr>
          <w:rFonts w:eastAsia="Arial"/>
        </w:rPr>
        <w:t>change supervisor;</w:t>
      </w:r>
    </w:p>
    <w:p w14:paraId="7513A0DB" w14:textId="77777777" w:rsidR="00964C26" w:rsidRDefault="009F0C94" w:rsidP="006567E0">
      <w:pPr>
        <w:pStyle w:val="MPLParagraphlevel2"/>
        <w:rPr>
          <w:rFonts w:eastAsia="Arial"/>
        </w:rPr>
      </w:pPr>
      <w:r>
        <w:rPr>
          <w:rFonts w:eastAsia="Arial"/>
        </w:rPr>
        <w:t>change of department;</w:t>
      </w:r>
    </w:p>
    <w:p w14:paraId="0D0EE40D" w14:textId="77777777" w:rsidR="00964C26" w:rsidRDefault="009F0C94" w:rsidP="006567E0">
      <w:pPr>
        <w:pStyle w:val="MPLParagraphlevel2"/>
        <w:rPr>
          <w:rFonts w:eastAsia="Arial"/>
        </w:rPr>
      </w:pPr>
      <w:r>
        <w:rPr>
          <w:rFonts w:eastAsia="Arial"/>
        </w:rPr>
        <w:t>convert from one graduate research course to another; or</w:t>
      </w:r>
    </w:p>
    <w:p w14:paraId="0F4F8F2E" w14:textId="77777777" w:rsidR="00964C26" w:rsidRDefault="009F0C94" w:rsidP="006567E0">
      <w:pPr>
        <w:pStyle w:val="MPLParagraphlevel2"/>
        <w:rPr>
          <w:rFonts w:eastAsia="Arial"/>
        </w:rPr>
      </w:pPr>
      <w:r>
        <w:rPr>
          <w:rFonts w:eastAsia="Arial"/>
        </w:rPr>
        <w:t>change of research project.</w:t>
      </w:r>
    </w:p>
    <w:p w14:paraId="7A34A3FC" w14:textId="77777777" w:rsidR="00964C26" w:rsidRDefault="009F0C94" w:rsidP="006567E0">
      <w:pPr>
        <w:pStyle w:val="MPLParagraphlevel1"/>
      </w:pPr>
      <w:r>
        <w:t>The candidate or their supervisor(s) may request a change in supervisory arrangements at any time. Any changes must be approved by the head(s) of department(s) of the candidate and the supervisor(s).</w:t>
      </w:r>
    </w:p>
    <w:p w14:paraId="5083F74D" w14:textId="77777777" w:rsidR="00964C26" w:rsidRDefault="009F0C94" w:rsidP="006567E0">
      <w:pPr>
        <w:pStyle w:val="MPLParagraphlevel1"/>
      </w:pPr>
      <w:r>
        <w:lastRenderedPageBreak/>
        <w:t xml:space="preserve">If the dean forms the view that the supervisory arrangements are </w:t>
      </w:r>
      <w:proofErr w:type="gramStart"/>
      <w:r>
        <w:t>unsatisfactory</w:t>
      </w:r>
      <w:proofErr w:type="gramEnd"/>
      <w:r>
        <w:t xml:space="preserve"> they may, at any time, assign new or additional supervisor(s) in consultation with the candidate. For avoidance of doubt, consultation does not mean the candidate’s approval is required.</w:t>
      </w:r>
    </w:p>
    <w:p w14:paraId="71B32F71" w14:textId="77777777" w:rsidR="00964C26" w:rsidRDefault="009F0C94" w:rsidP="006567E0">
      <w:pPr>
        <w:pStyle w:val="MPLParagraphlevel1"/>
      </w:pPr>
      <w:r>
        <w:t>When making decisions on any variation to candidature applications, factors that the dean considers include:</w:t>
      </w:r>
    </w:p>
    <w:p w14:paraId="02300687" w14:textId="77777777" w:rsidR="00964C26" w:rsidRDefault="009F0C94" w:rsidP="006567E0">
      <w:pPr>
        <w:pStyle w:val="MPLParagraphlevel2"/>
        <w:rPr>
          <w:rFonts w:eastAsia="Arial"/>
        </w:rPr>
      </w:pPr>
      <w:r>
        <w:rPr>
          <w:rFonts w:eastAsia="Arial"/>
        </w:rPr>
        <w:t>course specific requirements;</w:t>
      </w:r>
    </w:p>
    <w:p w14:paraId="077721EB" w14:textId="77777777" w:rsidR="00964C26" w:rsidRDefault="009F0C94" w:rsidP="006567E0">
      <w:pPr>
        <w:pStyle w:val="MPLParagraphlevel2"/>
        <w:rPr>
          <w:rFonts w:eastAsia="Arial"/>
        </w:rPr>
      </w:pPr>
      <w:r>
        <w:rPr>
          <w:rFonts w:eastAsia="Arial"/>
        </w:rPr>
        <w:t>academic progress to date;</w:t>
      </w:r>
    </w:p>
    <w:p w14:paraId="005CE2AF" w14:textId="77777777" w:rsidR="00964C26" w:rsidRDefault="009F0C94" w:rsidP="006567E0">
      <w:pPr>
        <w:pStyle w:val="MPLParagraphlevel2"/>
        <w:rPr>
          <w:rFonts w:eastAsia="Arial"/>
        </w:rPr>
      </w:pPr>
      <w:r>
        <w:rPr>
          <w:rFonts w:eastAsia="Arial"/>
        </w:rPr>
        <w:t>supervisor availability;</w:t>
      </w:r>
    </w:p>
    <w:p w14:paraId="0671016D" w14:textId="77777777" w:rsidR="00964C26" w:rsidRDefault="009F0C94" w:rsidP="006567E0">
      <w:pPr>
        <w:pStyle w:val="MPLParagraphlevel2"/>
        <w:rPr>
          <w:rFonts w:eastAsia="Arial"/>
        </w:rPr>
      </w:pPr>
      <w:r>
        <w:rPr>
          <w:rFonts w:eastAsia="Arial"/>
        </w:rPr>
        <w:t>the candidate’s prospects of success and capacity to complete in a timely manner;</w:t>
      </w:r>
    </w:p>
    <w:p w14:paraId="38505D1D" w14:textId="77777777" w:rsidR="00964C26" w:rsidRDefault="009F0C94" w:rsidP="006567E0">
      <w:pPr>
        <w:pStyle w:val="MPLParagraphlevel2"/>
        <w:rPr>
          <w:rFonts w:eastAsia="Arial"/>
        </w:rPr>
      </w:pPr>
      <w:r>
        <w:rPr>
          <w:rFonts w:eastAsia="Arial"/>
        </w:rPr>
        <w:t>scholarship requirements;</w:t>
      </w:r>
    </w:p>
    <w:p w14:paraId="7E10EA6A" w14:textId="77777777" w:rsidR="00964C26" w:rsidRDefault="006567E0" w:rsidP="006567E0">
      <w:pPr>
        <w:pStyle w:val="MPLParagraphlevel2"/>
        <w:rPr>
          <w:rFonts w:eastAsia="Arial"/>
        </w:rPr>
      </w:pPr>
      <w:r>
        <w:rPr>
          <w:rFonts w:eastAsia="Arial"/>
        </w:rPr>
        <w:t>f</w:t>
      </w:r>
      <w:r w:rsidR="009F0C94">
        <w:rPr>
          <w:rFonts w:eastAsia="Arial"/>
        </w:rPr>
        <w:t>unding for any program of research;</w:t>
      </w:r>
    </w:p>
    <w:p w14:paraId="69FDDAD1" w14:textId="77777777" w:rsidR="00964C26" w:rsidRDefault="009F0C94" w:rsidP="006567E0">
      <w:pPr>
        <w:pStyle w:val="MPLParagraphlevel2"/>
        <w:rPr>
          <w:rFonts w:eastAsia="Arial"/>
        </w:rPr>
      </w:pPr>
      <w:r>
        <w:rPr>
          <w:rFonts w:eastAsia="Arial"/>
        </w:rPr>
        <w:t>University resources and capacity;</w:t>
      </w:r>
    </w:p>
    <w:p w14:paraId="4AC07CEF" w14:textId="77777777" w:rsidR="00964C26" w:rsidRDefault="009F0C94" w:rsidP="006567E0">
      <w:pPr>
        <w:pStyle w:val="MPLParagraphlevel2"/>
        <w:rPr>
          <w:rFonts w:eastAsia="Arial"/>
        </w:rPr>
      </w:pPr>
      <w:r>
        <w:rPr>
          <w:rFonts w:eastAsia="Arial"/>
        </w:rPr>
        <w:t>re</w:t>
      </w:r>
      <w:r w:rsidR="006567E0">
        <w:rPr>
          <w:rFonts w:eastAsia="Arial"/>
        </w:rPr>
        <w:t>g</w:t>
      </w:r>
      <w:r>
        <w:rPr>
          <w:rFonts w:eastAsia="Arial"/>
        </w:rPr>
        <w:t>ulatory requirements; and/or</w:t>
      </w:r>
    </w:p>
    <w:p w14:paraId="5585C413" w14:textId="77777777" w:rsidR="00964C26" w:rsidRDefault="006567E0" w:rsidP="006567E0">
      <w:pPr>
        <w:pStyle w:val="MPLParagraphlevel2"/>
        <w:rPr>
          <w:rFonts w:eastAsia="Arial"/>
        </w:rPr>
      </w:pPr>
      <w:r>
        <w:rPr>
          <w:rFonts w:eastAsia="Arial"/>
        </w:rPr>
        <w:t>c</w:t>
      </w:r>
      <w:r w:rsidR="009F0C94">
        <w:rPr>
          <w:rFonts w:eastAsia="Arial"/>
        </w:rPr>
        <w:t>ompassionate or compelling circumstances.</w:t>
      </w:r>
    </w:p>
    <w:p w14:paraId="07BFF249" w14:textId="77777777" w:rsidR="00964C26" w:rsidRDefault="009F0C94" w:rsidP="006567E0">
      <w:pPr>
        <w:pStyle w:val="MPLParagraphlevel1"/>
      </w:pPr>
      <w:r>
        <w:t>The dean does not have to approve requested changes.</w:t>
      </w:r>
    </w:p>
    <w:p w14:paraId="69BE84C7" w14:textId="77777777" w:rsidR="00964C26" w:rsidRDefault="009F0C94" w:rsidP="006567E0">
      <w:pPr>
        <w:pStyle w:val="MPFSubheading"/>
      </w:pPr>
      <w:r>
        <w:t xml:space="preserve">Lapsed </w:t>
      </w:r>
      <w:proofErr w:type="gramStart"/>
      <w:r>
        <w:t>candidature</w:t>
      </w:r>
      <w:proofErr w:type="gramEnd"/>
    </w:p>
    <w:p w14:paraId="4CF8B137" w14:textId="77777777" w:rsidR="00964C26" w:rsidRDefault="009F0C94" w:rsidP="006567E0">
      <w:pPr>
        <w:pStyle w:val="MPLParagraphlevel1"/>
      </w:pPr>
      <w:r>
        <w:t xml:space="preserve">Lapsed candidature is only available to candidates who were confirmed as </w:t>
      </w:r>
      <w:proofErr w:type="gramStart"/>
      <w:r>
        <w:t>at</w:t>
      </w:r>
      <w:proofErr w:type="gramEnd"/>
      <w:r>
        <w:t xml:space="preserve"> 31 December 2017.</w:t>
      </w:r>
    </w:p>
    <w:p w14:paraId="7BB36C89" w14:textId="77777777" w:rsidR="00964C26" w:rsidRDefault="009F0C94" w:rsidP="006567E0">
      <w:pPr>
        <w:pStyle w:val="MPLParagraphlevel1"/>
      </w:pPr>
      <w:r>
        <w:t>Lapsed candidature is a status intended to allow candidates to submit their thesis for examination following the expiration of their candidature entitlement and any approved extensions.</w:t>
      </w:r>
    </w:p>
    <w:p w14:paraId="2D57B0A4" w14:textId="77777777" w:rsidR="00964C26" w:rsidRDefault="009F0C94" w:rsidP="006567E0">
      <w:pPr>
        <w:pStyle w:val="MPLParagraphlevel1"/>
      </w:pPr>
      <w:r>
        <w:t>Lapsed candidature may be granted:</w:t>
      </w:r>
    </w:p>
    <w:p w14:paraId="18205A93" w14:textId="77777777" w:rsidR="00964C26" w:rsidRDefault="009F0C94" w:rsidP="006567E0">
      <w:pPr>
        <w:pStyle w:val="MPLParagraphlevel2"/>
        <w:rPr>
          <w:rFonts w:eastAsia="Arial"/>
        </w:rPr>
      </w:pPr>
      <w:r>
        <w:rPr>
          <w:rFonts w:eastAsia="Arial"/>
        </w:rPr>
        <w:t>for masters candidates up to one calendar year; or</w:t>
      </w:r>
    </w:p>
    <w:p w14:paraId="2C3F6875" w14:textId="77777777" w:rsidR="00964C26" w:rsidRDefault="009F0C94" w:rsidP="006567E0">
      <w:pPr>
        <w:pStyle w:val="MPLParagraphlevel2"/>
        <w:rPr>
          <w:rFonts w:eastAsia="Arial"/>
        </w:rPr>
      </w:pPr>
      <w:r>
        <w:rPr>
          <w:rFonts w:eastAsia="Arial"/>
        </w:rPr>
        <w:t>for doctoral candidates up to two calendar years.</w:t>
      </w:r>
    </w:p>
    <w:p w14:paraId="17972D0B" w14:textId="77777777" w:rsidR="00964C26" w:rsidRDefault="009F0C94" w:rsidP="006567E0">
      <w:pPr>
        <w:pStyle w:val="MPFSubheading"/>
      </w:pPr>
      <w:r>
        <w:t>Withdrawal from course</w:t>
      </w:r>
    </w:p>
    <w:p w14:paraId="1DA7BEFD" w14:textId="77777777" w:rsidR="00964C26" w:rsidRDefault="009F0C94" w:rsidP="006567E0">
      <w:pPr>
        <w:pStyle w:val="MPLParagraphlevel1"/>
      </w:pPr>
      <w:r>
        <w:t xml:space="preserve">A candidate may </w:t>
      </w:r>
      <w:r w:rsidRPr="006567E0">
        <w:t>permanently withdraw from their course at any time in accordance with the Enrolment and Timetabling Policy</w:t>
      </w:r>
      <w:r w:rsidR="006567E0">
        <w:t xml:space="preserve"> (</w:t>
      </w:r>
      <w:hyperlink r:id="rId27" w:history="1">
        <w:r w:rsidR="006567E0" w:rsidRPr="006567E0">
          <w:rPr>
            <w:rStyle w:val="Hyperlink"/>
          </w:rPr>
          <w:t>MPF1294</w:t>
        </w:r>
      </w:hyperlink>
      <w:r w:rsidR="006567E0">
        <w:t>)</w:t>
      </w:r>
      <w:r w:rsidRPr="006567E0">
        <w:t xml:space="preserve"> but</w:t>
      </w:r>
      <w:r>
        <w:t xml:space="preserve"> not after they have:</w:t>
      </w:r>
    </w:p>
    <w:p w14:paraId="4756A808" w14:textId="01B2F69A" w:rsidR="00964C26" w:rsidRDefault="009F0C94" w:rsidP="006567E0">
      <w:pPr>
        <w:pStyle w:val="MPLParagraphlevel2"/>
        <w:rPr>
          <w:rFonts w:eastAsia="Arial"/>
        </w:rPr>
      </w:pPr>
      <w:r>
        <w:rPr>
          <w:rFonts w:eastAsia="Arial"/>
        </w:rPr>
        <w:t>submitted a thesis for examination; or</w:t>
      </w:r>
    </w:p>
    <w:p w14:paraId="6279169E" w14:textId="77777777" w:rsidR="00964C26" w:rsidRDefault="009F0C94" w:rsidP="006567E0">
      <w:pPr>
        <w:pStyle w:val="MPLParagraphlevel2"/>
        <w:rPr>
          <w:rFonts w:eastAsia="Arial"/>
        </w:rPr>
      </w:pPr>
      <w:r>
        <w:rPr>
          <w:rFonts w:eastAsia="Arial"/>
        </w:rPr>
        <w:t>had their candidature terminated for unsatisfactory academic progress; or</w:t>
      </w:r>
    </w:p>
    <w:p w14:paraId="5A6591D3" w14:textId="77777777" w:rsidR="00964C26" w:rsidRDefault="009F0C94" w:rsidP="006567E0">
      <w:pPr>
        <w:pStyle w:val="MPLParagraphlevel2"/>
        <w:rPr>
          <w:rFonts w:eastAsia="Arial"/>
        </w:rPr>
      </w:pPr>
      <w:r>
        <w:rPr>
          <w:rFonts w:eastAsia="Arial"/>
        </w:rPr>
        <w:t>had their candidature terminated for misconduct; or</w:t>
      </w:r>
    </w:p>
    <w:p w14:paraId="0598311C" w14:textId="77777777" w:rsidR="00964C26" w:rsidRDefault="009F0C94" w:rsidP="006567E0">
      <w:pPr>
        <w:pStyle w:val="MPLParagraphlevel2"/>
        <w:rPr>
          <w:rFonts w:eastAsia="Arial"/>
        </w:rPr>
      </w:pPr>
      <w:r>
        <w:rPr>
          <w:rFonts w:eastAsia="Arial"/>
        </w:rPr>
        <w:t>had their candidature terminated for failure to submit for examination by the maximum submission date; or</w:t>
      </w:r>
    </w:p>
    <w:p w14:paraId="3AA0B067" w14:textId="77777777" w:rsidR="00964C26" w:rsidRDefault="009F0C94" w:rsidP="006567E0">
      <w:pPr>
        <w:pStyle w:val="MPLParagraphlevel2"/>
        <w:rPr>
          <w:rFonts w:eastAsia="Arial"/>
        </w:rPr>
      </w:pPr>
      <w:r>
        <w:rPr>
          <w:rFonts w:eastAsia="Arial"/>
        </w:rPr>
        <w:t>while excluded from the University for health reasons.</w:t>
      </w:r>
    </w:p>
    <w:p w14:paraId="419C1FDB" w14:textId="77777777" w:rsidR="00964C26" w:rsidRDefault="009F0C94" w:rsidP="006567E0">
      <w:pPr>
        <w:pStyle w:val="MPFSubheading"/>
      </w:pPr>
      <w:r>
        <w:t>Theses</w:t>
      </w:r>
    </w:p>
    <w:p w14:paraId="1D7EF67E" w14:textId="77777777" w:rsidR="00964C26" w:rsidRDefault="009F0C94" w:rsidP="006567E0">
      <w:pPr>
        <w:pStyle w:val="MPLParagraphlevel1"/>
      </w:pPr>
      <w:r>
        <w:t>The thesis must address a significant research question and be primarily the candidate’s own work. For candidates enrolled in a time-based course, the work must be conducted substantially during the period of candidature.</w:t>
      </w:r>
    </w:p>
    <w:p w14:paraId="2AC302C3" w14:textId="77777777" w:rsidR="00964C26" w:rsidRDefault="009F0C94" w:rsidP="006567E0">
      <w:pPr>
        <w:pStyle w:val="MPLParagraphlevel1"/>
      </w:pPr>
      <w:r>
        <w:lastRenderedPageBreak/>
        <w:t>If approved by the dean or the advisory committee, the thesis may include a component of creative works including a performance, musical composition, exhibition, writing (poetry, fiction, script or other written literary forms), design, film, video, e-portfolio or website, multimedia or other new media technologies and modes of presentation.</w:t>
      </w:r>
    </w:p>
    <w:p w14:paraId="164DB527" w14:textId="77777777" w:rsidR="00964C26" w:rsidRDefault="009F0C94" w:rsidP="006567E0">
      <w:pPr>
        <w:pStyle w:val="MPLParagraphlevel1"/>
      </w:pPr>
      <w:r>
        <w:t>The thesis proportions, where designated to comprise creative work and dissertation (as at 4.63) must be specified at confirmation and the dissertation component cannot be less than 25% of the work.</w:t>
      </w:r>
    </w:p>
    <w:p w14:paraId="3E2B697E" w14:textId="77777777" w:rsidR="00964C26" w:rsidRDefault="009F0C94" w:rsidP="006567E0">
      <w:pPr>
        <w:pStyle w:val="MPLParagraphlevel1"/>
      </w:pPr>
      <w:r>
        <w:t>If the thesis contains a creative component (as at 4.63), a durable record of the performance or exhibition must be provided.</w:t>
      </w:r>
    </w:p>
    <w:p w14:paraId="227AD5D3" w14:textId="77777777" w:rsidR="00964C26" w:rsidRDefault="009F0C94" w:rsidP="006567E0">
      <w:pPr>
        <w:pStyle w:val="MPLParagraphlevel1"/>
      </w:pPr>
      <w:r>
        <w:t xml:space="preserve">A thesis presented in fulfilment of the Doctor of Philosophy or Master of Philosophy may include published material, or material in progress towards publication, in place of one or more results chapters in the thesis. A thesis presented in fulfilment of another Doctoral Degree (Research) or </w:t>
      </w:r>
      <w:proofErr w:type="spellStart"/>
      <w:proofErr w:type="gramStart"/>
      <w:r>
        <w:t>Masters</w:t>
      </w:r>
      <w:proofErr w:type="spellEnd"/>
      <w:r>
        <w:t xml:space="preserve"> Degree</w:t>
      </w:r>
      <w:proofErr w:type="gramEnd"/>
      <w:r>
        <w:t xml:space="preserve"> (Research) may include published material, or material in progress towards publication, in place of one or more results chapters in the thesis at the discretion of the dean. Publications may be presented as a series of articles or be used in lieu of individual chapters. Material may only be used to form a thesis chapter if:</w:t>
      </w:r>
    </w:p>
    <w:p w14:paraId="5D69CB54" w14:textId="77777777" w:rsidR="00964C26" w:rsidRDefault="009F0C94" w:rsidP="006567E0">
      <w:pPr>
        <w:pStyle w:val="MPLParagraphlevel2"/>
        <w:rPr>
          <w:rFonts w:eastAsia="Arial"/>
        </w:rPr>
      </w:pPr>
      <w:r>
        <w:rPr>
          <w:rFonts w:eastAsia="Arial"/>
        </w:rPr>
        <w:t>the candidate’s advisory committee has given its approval for the inclusion of the material;</w:t>
      </w:r>
    </w:p>
    <w:p w14:paraId="3EAA40E3" w14:textId="77777777" w:rsidR="00964C26" w:rsidRDefault="009F0C94" w:rsidP="006567E0">
      <w:pPr>
        <w:pStyle w:val="MPLParagraphlevel2"/>
        <w:rPr>
          <w:rFonts w:eastAsia="Arial"/>
        </w:rPr>
      </w:pPr>
      <w:r>
        <w:rPr>
          <w:rFonts w:eastAsia="Arial"/>
        </w:rPr>
        <w:t xml:space="preserve"> it is placed in context with the research topic of the thesis and pertains directly to the thesis topic;</w:t>
      </w:r>
    </w:p>
    <w:p w14:paraId="24882978" w14:textId="77777777" w:rsidR="00964C26" w:rsidRDefault="009F0C94" w:rsidP="006567E0">
      <w:pPr>
        <w:pStyle w:val="MPLParagraphlevel2"/>
        <w:rPr>
          <w:rFonts w:eastAsia="Arial"/>
        </w:rPr>
      </w:pPr>
      <w:r>
        <w:rPr>
          <w:rFonts w:eastAsia="Arial"/>
        </w:rPr>
        <w:t>it is a primary publication that reports on original research conducted by the candidates during their candidature;</w:t>
      </w:r>
    </w:p>
    <w:p w14:paraId="16ABB4BE" w14:textId="77777777" w:rsidR="00964C26" w:rsidRDefault="009F0C94" w:rsidP="006567E0">
      <w:pPr>
        <w:pStyle w:val="MPLParagraphlevel2"/>
        <w:rPr>
          <w:rFonts w:eastAsia="Arial"/>
        </w:rPr>
      </w:pPr>
      <w:r>
        <w:rPr>
          <w:rFonts w:eastAsia="Arial"/>
        </w:rPr>
        <w:t>the candidate was primarily responsible for the planning, execution and preparation of the work for publication;</w:t>
      </w:r>
    </w:p>
    <w:p w14:paraId="54418FD3" w14:textId="77777777" w:rsidR="00964C26" w:rsidRDefault="009F0C94" w:rsidP="006567E0">
      <w:pPr>
        <w:pStyle w:val="MPLParagraphlevel2"/>
        <w:rPr>
          <w:rFonts w:eastAsia="Arial"/>
        </w:rPr>
      </w:pPr>
      <w:r>
        <w:rPr>
          <w:rFonts w:eastAsia="Arial"/>
        </w:rPr>
        <w:t>the candidate wrote the first draft of the publication and contributed more than 50% of the content of the publication;</w:t>
      </w:r>
    </w:p>
    <w:p w14:paraId="72377155" w14:textId="77777777" w:rsidR="00964C26" w:rsidRDefault="009F0C94" w:rsidP="006B0CA8">
      <w:pPr>
        <w:pStyle w:val="MPLParagraphlevel2"/>
        <w:tabs>
          <w:tab w:val="num" w:pos="360"/>
        </w:tabs>
        <w:rPr>
          <w:rFonts w:eastAsia="Arial"/>
        </w:rPr>
      </w:pPr>
      <w:r>
        <w:rPr>
          <w:rFonts w:eastAsia="Arial"/>
        </w:rPr>
        <w:t>the candidate performed subsequent editing of the publication in response to co-authors’ and editors’ review;</w:t>
      </w:r>
    </w:p>
    <w:p w14:paraId="13B82966" w14:textId="4E884AC4" w:rsidR="00716C4B" w:rsidRDefault="00716C4B" w:rsidP="006B0CA8">
      <w:pPr>
        <w:pStyle w:val="MPLParagraphlevel2"/>
        <w:tabs>
          <w:tab w:val="num" w:pos="360"/>
        </w:tabs>
        <w:rPr>
          <w:rFonts w:eastAsia="Arial"/>
        </w:rPr>
      </w:pPr>
      <w:r w:rsidRPr="002D7822">
        <w:rPr>
          <w:rFonts w:eastAsia="Arial"/>
        </w:rPr>
        <w:t>the</w:t>
      </w:r>
      <w:r>
        <w:rPr>
          <w:rFonts w:eastAsia="Arial"/>
        </w:rPr>
        <w:t xml:space="preserve"> </w:t>
      </w:r>
      <w:r w:rsidRPr="002D7822">
        <w:rPr>
          <w:rFonts w:eastAsia="Arial"/>
        </w:rPr>
        <w:t>candidate’s</w:t>
      </w:r>
      <w:r>
        <w:rPr>
          <w:rFonts w:eastAsia="Arial"/>
        </w:rPr>
        <w:t xml:space="preserve"> </w:t>
      </w:r>
      <w:r w:rsidRPr="002D7822">
        <w:rPr>
          <w:rFonts w:eastAsia="Arial"/>
        </w:rPr>
        <w:t>Principal</w:t>
      </w:r>
      <w:r>
        <w:rPr>
          <w:rFonts w:eastAsia="Arial"/>
        </w:rPr>
        <w:t xml:space="preserve"> </w:t>
      </w:r>
      <w:r w:rsidRPr="002D7822">
        <w:rPr>
          <w:rFonts w:eastAsia="Arial"/>
        </w:rPr>
        <w:t>Supervisor</w:t>
      </w:r>
      <w:r>
        <w:rPr>
          <w:rFonts w:eastAsia="Arial"/>
        </w:rPr>
        <w:t xml:space="preserve"> </w:t>
      </w:r>
      <w:r w:rsidRPr="002D7822">
        <w:rPr>
          <w:rFonts w:eastAsia="Arial"/>
        </w:rPr>
        <w:t>and</w:t>
      </w:r>
      <w:r>
        <w:rPr>
          <w:rFonts w:eastAsia="Arial"/>
        </w:rPr>
        <w:t xml:space="preserve"> </w:t>
      </w:r>
      <w:r w:rsidRPr="002D7822">
        <w:rPr>
          <w:rFonts w:eastAsia="Arial"/>
        </w:rPr>
        <w:t>the</w:t>
      </w:r>
      <w:r>
        <w:rPr>
          <w:rFonts w:eastAsia="Arial"/>
        </w:rPr>
        <w:t xml:space="preserve"> </w:t>
      </w:r>
      <w:r w:rsidRPr="002D7822">
        <w:rPr>
          <w:rFonts w:eastAsia="Arial"/>
        </w:rPr>
        <w:t>publication’s</w:t>
      </w:r>
      <w:r>
        <w:rPr>
          <w:rFonts w:eastAsia="Arial"/>
        </w:rPr>
        <w:t xml:space="preserve"> </w:t>
      </w:r>
      <w:r w:rsidRPr="002D7822">
        <w:rPr>
          <w:rFonts w:eastAsia="Arial"/>
        </w:rPr>
        <w:t>Co</w:t>
      </w:r>
      <w:r w:rsidR="00AA0D62">
        <w:rPr>
          <w:rFonts w:eastAsia="Arial"/>
        </w:rPr>
        <w:t>ordinating</w:t>
      </w:r>
      <w:r>
        <w:rPr>
          <w:rFonts w:eastAsia="Arial"/>
        </w:rPr>
        <w:t xml:space="preserve"> </w:t>
      </w:r>
      <w:r w:rsidRPr="002D7822">
        <w:rPr>
          <w:rFonts w:eastAsia="Arial"/>
        </w:rPr>
        <w:t>Author</w:t>
      </w:r>
      <w:r>
        <w:rPr>
          <w:rFonts w:eastAsia="Arial"/>
        </w:rPr>
        <w:t xml:space="preserve"> </w:t>
      </w:r>
      <w:r w:rsidRPr="002D7822">
        <w:rPr>
          <w:rFonts w:eastAsia="Arial"/>
        </w:rPr>
        <w:t>(this</w:t>
      </w:r>
      <w:r>
        <w:rPr>
          <w:rFonts w:eastAsia="Arial"/>
        </w:rPr>
        <w:t xml:space="preserve"> </w:t>
      </w:r>
      <w:r w:rsidRPr="002D7822">
        <w:rPr>
          <w:rFonts w:eastAsia="Arial"/>
        </w:rPr>
        <w:t>may</w:t>
      </w:r>
      <w:r>
        <w:rPr>
          <w:rFonts w:eastAsia="Arial"/>
        </w:rPr>
        <w:t xml:space="preserve"> </w:t>
      </w:r>
      <w:r w:rsidRPr="002D7822">
        <w:rPr>
          <w:rFonts w:eastAsia="Arial"/>
        </w:rPr>
        <w:t>also</w:t>
      </w:r>
      <w:r>
        <w:rPr>
          <w:rFonts w:eastAsia="Arial"/>
        </w:rPr>
        <w:t xml:space="preserve"> </w:t>
      </w:r>
      <w:r w:rsidRPr="002D7822">
        <w:rPr>
          <w:rFonts w:eastAsia="Arial"/>
        </w:rPr>
        <w:t>be</w:t>
      </w:r>
      <w:r>
        <w:rPr>
          <w:rFonts w:eastAsia="Arial"/>
        </w:rPr>
        <w:t xml:space="preserve"> </w:t>
      </w:r>
      <w:r w:rsidRPr="002D7822">
        <w:rPr>
          <w:rFonts w:eastAsia="Arial"/>
        </w:rPr>
        <w:t>the</w:t>
      </w:r>
      <w:r>
        <w:rPr>
          <w:rFonts w:eastAsia="Arial"/>
        </w:rPr>
        <w:t xml:space="preserve"> </w:t>
      </w:r>
      <w:r w:rsidRPr="002D7822">
        <w:rPr>
          <w:rFonts w:eastAsia="Arial"/>
        </w:rPr>
        <w:t>Principal</w:t>
      </w:r>
      <w:r>
        <w:rPr>
          <w:rFonts w:eastAsia="Arial"/>
        </w:rPr>
        <w:t xml:space="preserve"> </w:t>
      </w:r>
      <w:r w:rsidRPr="002D7822">
        <w:rPr>
          <w:rFonts w:eastAsia="Arial"/>
        </w:rPr>
        <w:t>Supervisor)</w:t>
      </w:r>
      <w:r>
        <w:rPr>
          <w:rFonts w:eastAsia="Arial"/>
        </w:rPr>
        <w:t xml:space="preserve"> i</w:t>
      </w:r>
      <w:r w:rsidRPr="002D7822">
        <w:rPr>
          <w:rFonts w:eastAsia="Arial"/>
        </w:rPr>
        <w:t>s</w:t>
      </w:r>
      <w:r>
        <w:rPr>
          <w:rFonts w:eastAsia="Arial"/>
        </w:rPr>
        <w:t xml:space="preserve"> </w:t>
      </w:r>
      <w:r w:rsidRPr="002D7822">
        <w:rPr>
          <w:rFonts w:eastAsia="Arial"/>
        </w:rPr>
        <w:t>to</w:t>
      </w:r>
      <w:r>
        <w:rPr>
          <w:rFonts w:eastAsia="Arial"/>
        </w:rPr>
        <w:t xml:space="preserve"> </w:t>
      </w:r>
      <w:r w:rsidRPr="002D7822">
        <w:rPr>
          <w:rFonts w:eastAsia="Arial"/>
        </w:rPr>
        <w:t>provide</w:t>
      </w:r>
      <w:r>
        <w:rPr>
          <w:rFonts w:eastAsia="Arial"/>
        </w:rPr>
        <w:t xml:space="preserve"> </w:t>
      </w:r>
      <w:r w:rsidRPr="002D7822">
        <w:rPr>
          <w:rFonts w:eastAsia="Arial"/>
        </w:rPr>
        <w:t>their</w:t>
      </w:r>
      <w:r>
        <w:rPr>
          <w:rFonts w:eastAsia="Arial"/>
        </w:rPr>
        <w:t xml:space="preserve"> </w:t>
      </w:r>
      <w:r w:rsidRPr="002D7822">
        <w:rPr>
          <w:rFonts w:eastAsia="Arial"/>
        </w:rPr>
        <w:t>consent</w:t>
      </w:r>
      <w:r>
        <w:rPr>
          <w:rFonts w:eastAsia="Arial"/>
        </w:rPr>
        <w:t xml:space="preserve"> </w:t>
      </w:r>
      <w:r w:rsidRPr="002D7822">
        <w:rPr>
          <w:rFonts w:eastAsia="Arial"/>
        </w:rPr>
        <w:t>for</w:t>
      </w:r>
      <w:r>
        <w:rPr>
          <w:rFonts w:eastAsia="Arial"/>
        </w:rPr>
        <w:t xml:space="preserve"> </w:t>
      </w:r>
      <w:r w:rsidRPr="002D7822">
        <w:rPr>
          <w:rFonts w:eastAsia="Arial"/>
        </w:rPr>
        <w:t>the</w:t>
      </w:r>
      <w:r>
        <w:rPr>
          <w:rFonts w:eastAsia="Arial"/>
        </w:rPr>
        <w:t xml:space="preserve"> </w:t>
      </w:r>
      <w:r w:rsidRPr="002D7822">
        <w:rPr>
          <w:rFonts w:eastAsia="Arial"/>
        </w:rPr>
        <w:t>publication</w:t>
      </w:r>
      <w:r>
        <w:rPr>
          <w:rFonts w:eastAsia="Arial"/>
        </w:rPr>
        <w:t xml:space="preserve"> </w:t>
      </w:r>
      <w:r w:rsidRPr="002D7822">
        <w:rPr>
          <w:rFonts w:eastAsia="Arial"/>
        </w:rPr>
        <w:t>to</w:t>
      </w:r>
      <w:r>
        <w:rPr>
          <w:rFonts w:eastAsia="Arial"/>
        </w:rPr>
        <w:t xml:space="preserve"> </w:t>
      </w:r>
      <w:r w:rsidRPr="002D7822">
        <w:rPr>
          <w:rFonts w:eastAsia="Arial"/>
        </w:rPr>
        <w:t>be</w:t>
      </w:r>
      <w:r>
        <w:rPr>
          <w:rFonts w:eastAsia="Arial"/>
        </w:rPr>
        <w:t xml:space="preserve"> </w:t>
      </w:r>
      <w:r w:rsidRPr="002D7822">
        <w:rPr>
          <w:rFonts w:eastAsia="Arial"/>
        </w:rPr>
        <w:t>included</w:t>
      </w:r>
      <w:r>
        <w:rPr>
          <w:rFonts w:eastAsia="Arial"/>
        </w:rPr>
        <w:t xml:space="preserve"> </w:t>
      </w:r>
      <w:r w:rsidRPr="002D7822">
        <w:rPr>
          <w:rFonts w:eastAsia="Arial"/>
        </w:rPr>
        <w:t>in</w:t>
      </w:r>
      <w:r>
        <w:rPr>
          <w:rFonts w:eastAsia="Arial"/>
        </w:rPr>
        <w:t xml:space="preserve"> </w:t>
      </w:r>
      <w:r w:rsidRPr="002D7822">
        <w:rPr>
          <w:rFonts w:eastAsia="Arial"/>
        </w:rPr>
        <w:t>the</w:t>
      </w:r>
      <w:r>
        <w:rPr>
          <w:rFonts w:eastAsia="Arial"/>
        </w:rPr>
        <w:t xml:space="preserve"> </w:t>
      </w:r>
      <w:r w:rsidRPr="002D7822">
        <w:rPr>
          <w:rFonts w:eastAsia="Arial"/>
        </w:rPr>
        <w:t>thesis</w:t>
      </w:r>
      <w:r>
        <w:rPr>
          <w:rFonts w:eastAsia="Arial"/>
        </w:rPr>
        <w:t xml:space="preserve"> </w:t>
      </w:r>
      <w:r w:rsidRPr="002D7822">
        <w:rPr>
          <w:rFonts w:eastAsia="Arial"/>
        </w:rPr>
        <w:t>and</w:t>
      </w:r>
      <w:r>
        <w:rPr>
          <w:rFonts w:eastAsia="Arial"/>
        </w:rPr>
        <w:t xml:space="preserve"> </w:t>
      </w:r>
      <w:r w:rsidRPr="002D7822">
        <w:rPr>
          <w:rFonts w:eastAsia="Arial"/>
        </w:rPr>
        <w:t>declare</w:t>
      </w:r>
      <w:r>
        <w:rPr>
          <w:rFonts w:eastAsia="Arial"/>
        </w:rPr>
        <w:t xml:space="preserve"> </w:t>
      </w:r>
      <w:r w:rsidRPr="002D7822">
        <w:rPr>
          <w:rFonts w:eastAsia="Arial"/>
        </w:rPr>
        <w:t>that</w:t>
      </w:r>
      <w:r>
        <w:rPr>
          <w:rFonts w:eastAsia="Arial"/>
        </w:rPr>
        <w:t xml:space="preserve"> </w:t>
      </w:r>
      <w:r w:rsidRPr="002D7822">
        <w:rPr>
          <w:rFonts w:eastAsia="Arial"/>
        </w:rPr>
        <w:t>the</w:t>
      </w:r>
      <w:r>
        <w:rPr>
          <w:rFonts w:eastAsia="Arial"/>
        </w:rPr>
        <w:t xml:space="preserve"> </w:t>
      </w:r>
      <w:r w:rsidRPr="002D7822">
        <w:rPr>
          <w:rFonts w:eastAsia="Arial"/>
        </w:rPr>
        <w:t>work</w:t>
      </w:r>
      <w:r>
        <w:rPr>
          <w:rFonts w:eastAsia="Arial"/>
        </w:rPr>
        <w:t xml:space="preserve"> </w:t>
      </w:r>
      <w:r w:rsidRPr="002D7822">
        <w:rPr>
          <w:rFonts w:eastAsia="Arial"/>
        </w:rPr>
        <w:t>meets</w:t>
      </w:r>
      <w:r>
        <w:rPr>
          <w:rFonts w:eastAsia="Arial"/>
        </w:rPr>
        <w:t xml:space="preserve"> </w:t>
      </w:r>
      <w:r w:rsidRPr="002D7822">
        <w:rPr>
          <w:rFonts w:eastAsia="Arial"/>
        </w:rPr>
        <w:t>the</w:t>
      </w:r>
      <w:r>
        <w:rPr>
          <w:rFonts w:eastAsia="Arial"/>
        </w:rPr>
        <w:t xml:space="preserve"> </w:t>
      </w:r>
      <w:r w:rsidRPr="002D7822">
        <w:rPr>
          <w:rFonts w:eastAsia="Arial"/>
        </w:rPr>
        <w:t>requirements</w:t>
      </w:r>
      <w:r>
        <w:rPr>
          <w:rFonts w:eastAsia="Arial"/>
        </w:rPr>
        <w:t xml:space="preserve"> </w:t>
      </w:r>
      <w:r w:rsidRPr="002D7822">
        <w:rPr>
          <w:rFonts w:eastAsia="Arial"/>
        </w:rPr>
        <w:t>in</w:t>
      </w:r>
      <w:r>
        <w:rPr>
          <w:rFonts w:eastAsia="Arial"/>
        </w:rPr>
        <w:t xml:space="preserve"> </w:t>
      </w:r>
      <w:r w:rsidRPr="002D7822">
        <w:rPr>
          <w:rFonts w:eastAsia="Arial"/>
        </w:rPr>
        <w:t>sections</w:t>
      </w:r>
      <w:r>
        <w:rPr>
          <w:rFonts w:eastAsia="Arial"/>
        </w:rPr>
        <w:t xml:space="preserve"> </w:t>
      </w:r>
      <w:r w:rsidRPr="002D7822">
        <w:rPr>
          <w:rFonts w:eastAsia="Arial"/>
        </w:rPr>
        <w:t>(d),</w:t>
      </w:r>
      <w:r>
        <w:rPr>
          <w:rFonts w:eastAsia="Arial"/>
        </w:rPr>
        <w:t xml:space="preserve"> </w:t>
      </w:r>
      <w:r w:rsidRPr="002D7822">
        <w:rPr>
          <w:rFonts w:eastAsia="Arial"/>
        </w:rPr>
        <w:t>(e)</w:t>
      </w:r>
      <w:r>
        <w:rPr>
          <w:rFonts w:eastAsia="Arial"/>
        </w:rPr>
        <w:t xml:space="preserve"> </w:t>
      </w:r>
      <w:r w:rsidRPr="002D7822">
        <w:rPr>
          <w:rFonts w:eastAsia="Arial"/>
        </w:rPr>
        <w:t>and</w:t>
      </w:r>
      <w:r>
        <w:rPr>
          <w:rFonts w:eastAsia="Arial"/>
        </w:rPr>
        <w:t xml:space="preserve"> </w:t>
      </w:r>
      <w:r w:rsidRPr="002D7822">
        <w:rPr>
          <w:rFonts w:eastAsia="Arial"/>
        </w:rPr>
        <w:t>(f)</w:t>
      </w:r>
      <w:r>
        <w:rPr>
          <w:rFonts w:eastAsia="Arial"/>
        </w:rPr>
        <w:t xml:space="preserve"> </w:t>
      </w:r>
      <w:r w:rsidRPr="002D7822">
        <w:rPr>
          <w:rFonts w:eastAsia="Arial"/>
        </w:rPr>
        <w:t>above;</w:t>
      </w:r>
      <w:r>
        <w:rPr>
          <w:rFonts w:eastAsia="Arial"/>
        </w:rPr>
        <w:t xml:space="preserve"> </w:t>
      </w:r>
      <w:r w:rsidRPr="002D7822">
        <w:rPr>
          <w:rFonts w:eastAsia="Arial"/>
        </w:rPr>
        <w:t>and</w:t>
      </w:r>
    </w:p>
    <w:p w14:paraId="302A3C47" w14:textId="77777777" w:rsidR="00964C26" w:rsidRDefault="009F0C94" w:rsidP="006567E0">
      <w:pPr>
        <w:pStyle w:val="MPLParagraphlevel2"/>
        <w:rPr>
          <w:rFonts w:eastAsia="Arial"/>
        </w:rPr>
      </w:pPr>
      <w:r>
        <w:rPr>
          <w:rFonts w:eastAsia="Arial"/>
        </w:rPr>
        <w:t>it is not subject to any obligations or contractual agreements with a third party that constrain its inclusion in the thesis.</w:t>
      </w:r>
    </w:p>
    <w:p w14:paraId="5F5734E0" w14:textId="77777777" w:rsidR="00964C26" w:rsidRDefault="009F0C94" w:rsidP="006567E0">
      <w:pPr>
        <w:pStyle w:val="MPLParagraphlevel1"/>
      </w:pPr>
      <w:r>
        <w:t>The text of a review written predominantly by the candidate may be included within the candidate’s thesis, subject to inclusion of analysis of any relevant papers published between the time of publication of the review and the submission of the thesis, and declaration of any contributions made by any co-authors of the review.</w:t>
      </w:r>
    </w:p>
    <w:p w14:paraId="2F946159" w14:textId="77777777" w:rsidR="00964C26" w:rsidRDefault="009F0C94" w:rsidP="006567E0">
      <w:pPr>
        <w:pStyle w:val="MPLParagraphlevel1"/>
      </w:pPr>
      <w:r>
        <w:t>The thesis must be submitted in accordance with the requirements approved by the Board and set out on the Graduate Research Hub.</w:t>
      </w:r>
    </w:p>
    <w:p w14:paraId="6A67635A" w14:textId="77777777" w:rsidR="00964C26" w:rsidRDefault="009F0C94" w:rsidP="006567E0">
      <w:pPr>
        <w:pStyle w:val="MPFSubheading"/>
      </w:pPr>
      <w:r>
        <w:lastRenderedPageBreak/>
        <w:t>Language of the thesis</w:t>
      </w:r>
    </w:p>
    <w:p w14:paraId="1B5B739A" w14:textId="77777777" w:rsidR="00964C26" w:rsidRDefault="009F0C94" w:rsidP="006567E0">
      <w:pPr>
        <w:pStyle w:val="MPLParagraphlevel1"/>
      </w:pPr>
      <w:r>
        <w:t>The thesis must be written in English unless approval to submit in another language has been granted by the chair of HDRC on commencement.</w:t>
      </w:r>
    </w:p>
    <w:p w14:paraId="1E6E90BF" w14:textId="77777777" w:rsidR="00964C26" w:rsidRDefault="009F0C94" w:rsidP="006567E0">
      <w:pPr>
        <w:pStyle w:val="MPLParagraphlevel1"/>
      </w:pPr>
      <w:r>
        <w:t>A thesis written in a language other than English must contain an English language summary of the thesis including an introduction, chapter outline and conclusion. The length of the English language summary should be 5000 – 10 000 words for a Doctoral Degree (Research) thesis; or 2500 – 5000 words for a Master Degree (Research) thesis.</w:t>
      </w:r>
    </w:p>
    <w:p w14:paraId="12B3B2E6" w14:textId="77777777" w:rsidR="00964C26" w:rsidRDefault="009F0C94" w:rsidP="006567E0">
      <w:pPr>
        <w:pStyle w:val="MPLParagraphlevel1"/>
      </w:pPr>
      <w:r>
        <w:t>A thesis for a jointly awarded PhD program must be written in a language of a country of the awarding institutions and must be agreed on commencement of the degree.</w:t>
      </w:r>
    </w:p>
    <w:p w14:paraId="12E2EE49" w14:textId="77777777" w:rsidR="00964C26" w:rsidRDefault="009F0C94" w:rsidP="006567E0">
      <w:pPr>
        <w:pStyle w:val="MPLParagraphlevel1"/>
      </w:pPr>
      <w:r>
        <w:t>Where the language of the countries of the awarding institutions is different, the thesis must include a summary of 5000 – 10 000 words comprised of an introduction, brief chapter outline and conclusion in the language of the partner institution.</w:t>
      </w:r>
    </w:p>
    <w:p w14:paraId="26DC19FF" w14:textId="77777777" w:rsidR="00964C26" w:rsidRDefault="009F0C94" w:rsidP="006567E0">
      <w:pPr>
        <w:pStyle w:val="MPFSubheading"/>
      </w:pPr>
      <w:r>
        <w:t>Thesis word limits</w:t>
      </w:r>
    </w:p>
    <w:p w14:paraId="64DE1D4E" w14:textId="77777777" w:rsidR="00964C26" w:rsidRDefault="009F0C94" w:rsidP="006567E0">
      <w:pPr>
        <w:pStyle w:val="MPLParagraphlevel1"/>
      </w:pPr>
      <w:r>
        <w:t xml:space="preserve">The thesis should not exceed the word limit stipulated for the course in the </w:t>
      </w:r>
      <w:hyperlink r:id="rId28" w:history="1">
        <w:r>
          <w:rPr>
            <w:color w:val="0000FF"/>
            <w:u w:val="single"/>
          </w:rPr>
          <w:t>Handbook</w:t>
        </w:r>
      </w:hyperlink>
      <w:r>
        <w:t>. If a word limit is not specified the maximum word limits below apply. Word limits include footnotes but exclude tables, maps, bibliographies and appendices:</w:t>
      </w:r>
    </w:p>
    <w:p w14:paraId="38173917" w14:textId="77777777" w:rsidR="00964C26" w:rsidRDefault="009F0C94" w:rsidP="006567E0">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50 000 words; or</w:t>
      </w:r>
    </w:p>
    <w:p w14:paraId="6DF5F594" w14:textId="77777777" w:rsidR="00964C26" w:rsidRDefault="009F0C94" w:rsidP="006567E0">
      <w:pPr>
        <w:pStyle w:val="MPLParagraphlevel2"/>
        <w:rPr>
          <w:rFonts w:eastAsia="Arial"/>
        </w:rPr>
      </w:pPr>
      <w:r>
        <w:rPr>
          <w:rFonts w:eastAsia="Arial"/>
        </w:rPr>
        <w:t>Doctoral Degree (Research): 100 000 words.</w:t>
      </w:r>
    </w:p>
    <w:p w14:paraId="0FDB20E2" w14:textId="133CCC62" w:rsidR="00964C26" w:rsidRDefault="009F0C94" w:rsidP="006567E0">
      <w:pPr>
        <w:pStyle w:val="MPLParagraphlevel1"/>
      </w:pPr>
      <w:r>
        <w:t xml:space="preserve">If a course requires submission of creative works with the thesis and the proportion of the creative works is not stipulated in the course </w:t>
      </w:r>
      <w:hyperlink r:id="rId29" w:history="1">
        <w:r>
          <w:rPr>
            <w:color w:val="0000FF"/>
            <w:u w:val="single"/>
          </w:rPr>
          <w:t>Handbook</w:t>
        </w:r>
      </w:hyperlink>
      <w:r>
        <w:t>, the form of the creative work and the inclusion of documentation of the creative work must be determined at the time of confirmation and approved by the head of department</w:t>
      </w:r>
      <w:r w:rsidR="00587E96">
        <w:t>, and be in line with cl 4.63</w:t>
      </w:r>
      <w:r>
        <w:t>.</w:t>
      </w:r>
    </w:p>
    <w:p w14:paraId="64894A27" w14:textId="77777777" w:rsidR="00964C26" w:rsidRDefault="009F0C94" w:rsidP="006567E0">
      <w:pPr>
        <w:pStyle w:val="MPLParagraphlevel1"/>
      </w:pPr>
      <w:r>
        <w:t>A thesis that exceeds the specified word limit is only to be accepted for examination if:</w:t>
      </w:r>
    </w:p>
    <w:p w14:paraId="01EEA206" w14:textId="77777777" w:rsidR="00964C26" w:rsidRDefault="009F0C94" w:rsidP="006567E0">
      <w:pPr>
        <w:pStyle w:val="MPLParagraphlevel2"/>
        <w:rPr>
          <w:rFonts w:eastAsia="Arial"/>
        </w:rPr>
      </w:pPr>
      <w:r>
        <w:rPr>
          <w:rFonts w:eastAsia="Arial"/>
        </w:rPr>
        <w:t>prior approval has been granted by the chair of HDRC; and</w:t>
      </w:r>
    </w:p>
    <w:p w14:paraId="3ACA6A37" w14:textId="77777777" w:rsidR="00964C26" w:rsidRDefault="009F0C94" w:rsidP="006567E0">
      <w:pPr>
        <w:pStyle w:val="MPLParagraphlevel2"/>
        <w:rPr>
          <w:rFonts w:eastAsia="Arial"/>
        </w:rPr>
      </w:pPr>
      <w:r>
        <w:rPr>
          <w:rFonts w:eastAsia="Arial"/>
        </w:rPr>
        <w:t>the nominated examiners have agreed to examine the over-length thesis.</w:t>
      </w:r>
    </w:p>
    <w:p w14:paraId="02599601" w14:textId="77777777" w:rsidR="00964C26" w:rsidRDefault="009F0C94" w:rsidP="006567E0">
      <w:pPr>
        <w:pStyle w:val="MPFSubheading"/>
      </w:pPr>
      <w:r>
        <w:t>Editing of theses</w:t>
      </w:r>
    </w:p>
    <w:p w14:paraId="41DC5C8F" w14:textId="77777777" w:rsidR="00964C26" w:rsidRDefault="009F0C94" w:rsidP="006567E0">
      <w:pPr>
        <w:pStyle w:val="MPLParagraphlevel1"/>
      </w:pPr>
      <w:r>
        <w:t>The candidate’s supervisors are to critique the draft thesis prior to approving its submission.</w:t>
      </w:r>
    </w:p>
    <w:p w14:paraId="3DD7BCA2" w14:textId="77777777" w:rsidR="00964C26" w:rsidRDefault="009F0C94" w:rsidP="006567E0">
      <w:pPr>
        <w:pStyle w:val="MPLParagraphlevel1"/>
      </w:pPr>
      <w:r>
        <w:t xml:space="preserve">Supervisors may only provide direct editorial intervention in accordance with </w:t>
      </w:r>
      <w:hyperlink r:id="rId30" w:history="1">
        <w:r>
          <w:rPr>
            <w:color w:val="0000FF"/>
            <w:u w:val="single"/>
          </w:rPr>
          <w:t>The Australian Standards for Editing Practice</w:t>
        </w:r>
      </w:hyperlink>
      <w:r>
        <w:t xml:space="preserve"> as follows:</w:t>
      </w:r>
    </w:p>
    <w:p w14:paraId="186C65CD" w14:textId="77777777" w:rsidR="00964C26" w:rsidRDefault="009F0C94" w:rsidP="006567E0">
      <w:pPr>
        <w:pStyle w:val="MPLParagraphlevel2"/>
        <w:rPr>
          <w:rFonts w:eastAsia="Arial"/>
        </w:rPr>
      </w:pPr>
      <w:r>
        <w:rPr>
          <w:rFonts w:eastAsia="Arial"/>
        </w:rPr>
        <w:t>Standard C: Substance and Structure;</w:t>
      </w:r>
    </w:p>
    <w:p w14:paraId="118A1FE0" w14:textId="77777777" w:rsidR="00964C26" w:rsidRDefault="009F0C94" w:rsidP="006567E0">
      <w:pPr>
        <w:pStyle w:val="MPLParagraphlevel2"/>
        <w:rPr>
          <w:rFonts w:eastAsia="Arial"/>
        </w:rPr>
      </w:pPr>
      <w:r>
        <w:rPr>
          <w:rFonts w:eastAsia="Arial"/>
        </w:rPr>
        <w:t>Standard D: Language and Illustrations; and</w:t>
      </w:r>
    </w:p>
    <w:p w14:paraId="7AF582E7" w14:textId="77777777" w:rsidR="00964C26" w:rsidRDefault="009F0C94" w:rsidP="006567E0">
      <w:pPr>
        <w:pStyle w:val="MPLParagraphlevel2"/>
        <w:rPr>
          <w:rFonts w:eastAsia="Arial"/>
        </w:rPr>
      </w:pPr>
      <w:r>
        <w:rPr>
          <w:rFonts w:eastAsia="Arial"/>
        </w:rPr>
        <w:t>Standard E: Completeness and Consistency.</w:t>
      </w:r>
    </w:p>
    <w:p w14:paraId="37ABD067" w14:textId="77777777" w:rsidR="00964C26" w:rsidRDefault="009F0C94" w:rsidP="006567E0">
      <w:pPr>
        <w:pStyle w:val="MPLParagraphlevel1"/>
      </w:pPr>
      <w:r>
        <w:t>Assistance from other parties must be limited to editorial intervention in accordance with </w:t>
      </w:r>
      <w:hyperlink r:id="rId31" w:history="1">
        <w:r>
          <w:rPr>
            <w:color w:val="0000FF"/>
            <w:u w:val="single"/>
          </w:rPr>
          <w:t>The Australian Standards for Editing Practice</w:t>
        </w:r>
      </w:hyperlink>
      <w:r>
        <w:t xml:space="preserve"> as follows:</w:t>
      </w:r>
    </w:p>
    <w:p w14:paraId="5566DC41" w14:textId="77777777" w:rsidR="00964C26" w:rsidRDefault="009F0C94" w:rsidP="006567E0">
      <w:pPr>
        <w:pStyle w:val="MPLParagraphlevel2"/>
        <w:rPr>
          <w:rFonts w:eastAsia="Arial"/>
        </w:rPr>
      </w:pPr>
      <w:r>
        <w:rPr>
          <w:rFonts w:eastAsia="Arial"/>
        </w:rPr>
        <w:t>Standard D: Language and Illustrations; and</w:t>
      </w:r>
    </w:p>
    <w:p w14:paraId="661C8579" w14:textId="77777777" w:rsidR="00964C26" w:rsidRDefault="009F0C94" w:rsidP="006567E0">
      <w:pPr>
        <w:pStyle w:val="MPLParagraphlevel2"/>
        <w:rPr>
          <w:rFonts w:eastAsia="Arial"/>
        </w:rPr>
      </w:pPr>
      <w:r>
        <w:rPr>
          <w:rFonts w:eastAsia="Arial"/>
        </w:rPr>
        <w:t>Standard E: Completeness and Consistency.</w:t>
      </w:r>
    </w:p>
    <w:p w14:paraId="6F396751" w14:textId="77777777" w:rsidR="00964C26" w:rsidRDefault="009F0C94" w:rsidP="006567E0">
      <w:pPr>
        <w:pStyle w:val="MPLParagraphlevel1"/>
      </w:pPr>
      <w:r>
        <w:lastRenderedPageBreak/>
        <w:t>Any editorial assistance provided to a candidate, under 4.78, must be declared in the preface.</w:t>
      </w:r>
    </w:p>
    <w:p w14:paraId="083D9201" w14:textId="77777777" w:rsidR="00964C26" w:rsidRDefault="009F0C94" w:rsidP="006567E0">
      <w:pPr>
        <w:pStyle w:val="MPFSubheading"/>
      </w:pPr>
      <w:r>
        <w:t>Compilation</w:t>
      </w:r>
    </w:p>
    <w:p w14:paraId="3D16E257" w14:textId="77777777" w:rsidR="00964C26" w:rsidRDefault="009F0C94" w:rsidP="006567E0">
      <w:pPr>
        <w:pStyle w:val="MPLParagraphlevel1"/>
      </w:pPr>
      <w:r>
        <w:t xml:space="preserve"> Candidates submitting a compilation in fulfilment of course requirements may include work that is original, either published or unpublished, and has been approved by the relevant faculty as appropriate for submission.</w:t>
      </w:r>
    </w:p>
    <w:p w14:paraId="31F6035D" w14:textId="77777777" w:rsidR="00964C26" w:rsidRDefault="009F0C94" w:rsidP="006567E0">
      <w:pPr>
        <w:pStyle w:val="MPFSubheading"/>
      </w:pPr>
      <w:r>
        <w:t>Examination and requirements for completion</w:t>
      </w:r>
    </w:p>
    <w:p w14:paraId="45EBE5DE" w14:textId="290AB80A" w:rsidR="00964C26" w:rsidRDefault="009F0C94" w:rsidP="00200048">
      <w:pPr>
        <w:pStyle w:val="MPLParagraphlevel1"/>
      </w:pPr>
      <w:r>
        <w:t>All candidates enrolled in a graduate research course must submit a thesis for examination, in accordance with the course rules, in partial or total fulfilment of the award of the course.</w:t>
      </w:r>
    </w:p>
    <w:p w14:paraId="05DE62BF" w14:textId="77777777" w:rsidR="00964C26" w:rsidRDefault="009F0C94" w:rsidP="00200048">
      <w:pPr>
        <w:pStyle w:val="MPLParagraphlevel1"/>
      </w:pPr>
      <w:r>
        <w:t>Candidates in a course that does not require a time-based period of enrolment must submit a compilation of papers in total fulfilment of the award of the course.</w:t>
      </w:r>
    </w:p>
    <w:p w14:paraId="3F7EFED8" w14:textId="77777777" w:rsidR="00964C26" w:rsidRDefault="009F0C94" w:rsidP="00200048">
      <w:pPr>
        <w:pStyle w:val="MPLParagraphlevel1"/>
      </w:pPr>
      <w:r>
        <w:t>To complete the requirements of a graduate research course all candidates must:</w:t>
      </w:r>
    </w:p>
    <w:p w14:paraId="06038CEC" w14:textId="55807716" w:rsidR="00964C26" w:rsidRDefault="009F0C94" w:rsidP="00200048">
      <w:pPr>
        <w:pStyle w:val="MPLParagraphlevel2"/>
        <w:rPr>
          <w:rFonts w:eastAsia="Arial"/>
        </w:rPr>
      </w:pPr>
      <w:r>
        <w:rPr>
          <w:rFonts w:eastAsia="Arial"/>
        </w:rPr>
        <w:t>achieve a pass grade in the examination of the thesis;</w:t>
      </w:r>
    </w:p>
    <w:p w14:paraId="5141F527" w14:textId="77777777" w:rsidR="00964C26" w:rsidRDefault="009F0C94" w:rsidP="00200048">
      <w:pPr>
        <w:pStyle w:val="MPLParagraphlevel2"/>
        <w:rPr>
          <w:rFonts w:eastAsia="Arial"/>
        </w:rPr>
      </w:pPr>
      <w:r>
        <w:rPr>
          <w:rFonts w:eastAsia="Arial"/>
        </w:rPr>
        <w:t xml:space="preserve">meet any specific course requirements as stated in the </w:t>
      </w:r>
      <w:hyperlink r:id="rId32" w:history="1">
        <w:r>
          <w:rPr>
            <w:rFonts w:eastAsia="Arial"/>
            <w:color w:val="0000FF"/>
            <w:u w:val="single"/>
          </w:rPr>
          <w:t>Handbook</w:t>
        </w:r>
      </w:hyperlink>
      <w:r>
        <w:rPr>
          <w:rFonts w:eastAsia="Arial"/>
        </w:rPr>
        <w:t>;</w:t>
      </w:r>
    </w:p>
    <w:p w14:paraId="6A66B494" w14:textId="77777777" w:rsidR="00964C26" w:rsidRDefault="009F0C94" w:rsidP="00200048">
      <w:pPr>
        <w:pStyle w:val="MPLParagraphlevel2"/>
        <w:rPr>
          <w:rFonts w:eastAsia="Arial"/>
        </w:rPr>
      </w:pPr>
      <w:r>
        <w:rPr>
          <w:rFonts w:eastAsia="Arial"/>
        </w:rPr>
        <w:t>provide an electronic copy of the final thesis for deposit in the University Repository; and</w:t>
      </w:r>
    </w:p>
    <w:p w14:paraId="012A82B0" w14:textId="77777777" w:rsidR="00964C26" w:rsidRDefault="009F0C94" w:rsidP="00200048">
      <w:pPr>
        <w:pStyle w:val="MPLParagraphlevel2"/>
        <w:rPr>
          <w:rFonts w:eastAsia="Arial"/>
        </w:rPr>
      </w:pPr>
      <w:r>
        <w:rPr>
          <w:rFonts w:eastAsia="Arial"/>
        </w:rPr>
        <w:t>provide a citation of the required length.</w:t>
      </w:r>
    </w:p>
    <w:p w14:paraId="56E44326" w14:textId="77777777" w:rsidR="00964C26" w:rsidRDefault="009F0C94" w:rsidP="00200048">
      <w:pPr>
        <w:pStyle w:val="MPFSubheading"/>
      </w:pPr>
      <w:r>
        <w:t xml:space="preserve">Eligibility to submit for </w:t>
      </w:r>
      <w:proofErr w:type="gramStart"/>
      <w:r>
        <w:t>examination</w:t>
      </w:r>
      <w:proofErr w:type="gramEnd"/>
    </w:p>
    <w:p w14:paraId="0DF0DEE7" w14:textId="77777777" w:rsidR="00964C26" w:rsidRDefault="009F0C94" w:rsidP="00200048">
      <w:pPr>
        <w:pStyle w:val="MPLParagraphlevel1"/>
      </w:pPr>
      <w:r>
        <w:t>Candidates can only submit a compilation if they are admitted to the relevant course where a compilation is a specified requirement of, or permitted by, the course rules.</w:t>
      </w:r>
    </w:p>
    <w:p w14:paraId="6CA3F78B" w14:textId="12F5EB2D" w:rsidR="00964C26" w:rsidRDefault="009F0C94" w:rsidP="00200048">
      <w:pPr>
        <w:pStyle w:val="MPLParagraphlevel1"/>
      </w:pPr>
      <w:r>
        <w:t>Candidates can only submit a thesis for examination, except where 4.81 applies, if they have been enrolled in the course for the minimum period as follows:</w:t>
      </w:r>
    </w:p>
    <w:p w14:paraId="695C6F1A" w14:textId="77777777" w:rsidR="00964C26" w:rsidRDefault="009F0C94" w:rsidP="00200048">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with coursework - 12 months full-time equivalent; or</w:t>
      </w:r>
    </w:p>
    <w:p w14:paraId="1A1F2FF5" w14:textId="77777777" w:rsidR="00964C26" w:rsidRDefault="009F0C94" w:rsidP="00200048">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without coursework - 6 months full-time equivalent; or</w:t>
      </w:r>
    </w:p>
    <w:p w14:paraId="397F98FB" w14:textId="77777777" w:rsidR="00964C26" w:rsidRDefault="009F0C94" w:rsidP="00200048">
      <w:pPr>
        <w:pStyle w:val="MPLParagraphlevel2"/>
        <w:rPr>
          <w:rFonts w:eastAsia="Arial"/>
        </w:rPr>
      </w:pPr>
      <w:r>
        <w:rPr>
          <w:rFonts w:eastAsia="Arial"/>
        </w:rPr>
        <w:t>Doctoral Degree (Research) - 24 months full-time equivalent; and</w:t>
      </w:r>
    </w:p>
    <w:p w14:paraId="6F1C99E4" w14:textId="77777777" w:rsidR="00964C26" w:rsidRDefault="009F0C94" w:rsidP="00200048">
      <w:pPr>
        <w:pStyle w:val="MPLParagraphlevel2"/>
        <w:rPr>
          <w:rFonts w:eastAsia="Arial"/>
        </w:rPr>
      </w:pPr>
      <w:r>
        <w:rPr>
          <w:rFonts w:eastAsia="Arial"/>
        </w:rPr>
        <w:t>have satisfied all the following requirements:</w:t>
      </w:r>
    </w:p>
    <w:p w14:paraId="3748AF53" w14:textId="77777777" w:rsidR="00964C26" w:rsidRDefault="009F0C94" w:rsidP="00200048">
      <w:pPr>
        <w:pStyle w:val="MPLParagraphlevel3"/>
        <w:rPr>
          <w:rFonts w:eastAsia="Arial"/>
        </w:rPr>
      </w:pPr>
      <w:r>
        <w:rPr>
          <w:rFonts w:eastAsia="Arial"/>
        </w:rPr>
        <w:t>had their candidature confirmed;</w:t>
      </w:r>
    </w:p>
    <w:p w14:paraId="7A7AC16A" w14:textId="77777777" w:rsidR="00964C26" w:rsidRDefault="009F0C94" w:rsidP="00200048">
      <w:pPr>
        <w:pStyle w:val="MPLParagraphlevel3"/>
        <w:rPr>
          <w:rFonts w:eastAsia="Arial"/>
        </w:rPr>
      </w:pPr>
      <w:r>
        <w:rPr>
          <w:rFonts w:eastAsia="Arial"/>
        </w:rPr>
        <w:t>met the relevant residency requirement;</w:t>
      </w:r>
    </w:p>
    <w:p w14:paraId="525AFD89" w14:textId="77777777" w:rsidR="00964C26" w:rsidRDefault="009F0C94" w:rsidP="00200048">
      <w:pPr>
        <w:pStyle w:val="MPLParagraphlevel3"/>
        <w:rPr>
          <w:rFonts w:eastAsia="Arial"/>
        </w:rPr>
      </w:pPr>
      <w:r>
        <w:rPr>
          <w:rFonts w:eastAsia="Arial"/>
        </w:rPr>
        <w:t>presented their research findings at a public completion seminar attended by a panel including members of their advisory committee in accordance with this policy; and,</w:t>
      </w:r>
    </w:p>
    <w:p w14:paraId="07BD5EB1" w14:textId="77777777" w:rsidR="00964C26" w:rsidRDefault="009F0C94" w:rsidP="00200048">
      <w:pPr>
        <w:pStyle w:val="MPLParagraphlevel3"/>
        <w:rPr>
          <w:rFonts w:eastAsia="Arial"/>
        </w:rPr>
      </w:pPr>
      <w:r>
        <w:rPr>
          <w:rFonts w:eastAsia="Arial"/>
        </w:rPr>
        <w:t>be enrolled or have approval from the head of department to be placed under examination.</w:t>
      </w:r>
    </w:p>
    <w:p w14:paraId="06E671B0" w14:textId="77777777" w:rsidR="00964C26" w:rsidRDefault="009F0C94" w:rsidP="00200048">
      <w:pPr>
        <w:pStyle w:val="MPLParagraphlevel1"/>
      </w:pPr>
      <w:r>
        <w:t>HDRC permission is required to submit a thesis before the minimum period and may only be granted in exceptional circumstances.</w:t>
      </w:r>
    </w:p>
    <w:p w14:paraId="51A4280E" w14:textId="77777777" w:rsidR="00964C26" w:rsidRDefault="009F0C94" w:rsidP="00200048">
      <w:pPr>
        <w:pStyle w:val="MPLParagraphlevel1"/>
      </w:pPr>
      <w:r>
        <w:t>All candidates submitting a thesis or compilation must:</w:t>
      </w:r>
    </w:p>
    <w:p w14:paraId="21A186FE" w14:textId="77777777" w:rsidR="00964C26" w:rsidRDefault="009F0C94" w:rsidP="00200048">
      <w:pPr>
        <w:pStyle w:val="MPLParagraphlevel2"/>
        <w:rPr>
          <w:rFonts w:eastAsia="Arial"/>
        </w:rPr>
      </w:pPr>
      <w:r>
        <w:rPr>
          <w:rFonts w:eastAsia="Arial"/>
        </w:rPr>
        <w:t xml:space="preserve">make all necessary declarations as described in the preparation of </w:t>
      </w:r>
      <w:proofErr w:type="spellStart"/>
      <w:r>
        <w:rPr>
          <w:rFonts w:eastAsia="Arial"/>
        </w:rPr>
        <w:t>theses</w:t>
      </w:r>
      <w:proofErr w:type="spellEnd"/>
      <w:r>
        <w:rPr>
          <w:rFonts w:eastAsia="Arial"/>
        </w:rPr>
        <w:t xml:space="preserve"> rules published on the Graduate Research Hub;</w:t>
      </w:r>
    </w:p>
    <w:p w14:paraId="4CC472F3" w14:textId="77777777" w:rsidR="00964C26" w:rsidRDefault="009F0C94" w:rsidP="00200048">
      <w:pPr>
        <w:pStyle w:val="MPLParagraphlevel2"/>
        <w:rPr>
          <w:rFonts w:eastAsia="Arial"/>
        </w:rPr>
      </w:pPr>
      <w:r>
        <w:rPr>
          <w:rFonts w:eastAsia="Arial"/>
        </w:rPr>
        <w:t xml:space="preserve">prepare the thesis or compilation in accordance with the format rules published on the </w:t>
      </w:r>
      <w:hyperlink r:id="rId33" w:history="1">
        <w:r>
          <w:rPr>
            <w:rFonts w:eastAsia="Arial"/>
            <w:color w:val="0000FF"/>
            <w:u w:val="single"/>
          </w:rPr>
          <w:t>Graduate Research Hub</w:t>
        </w:r>
      </w:hyperlink>
      <w:r>
        <w:rPr>
          <w:rFonts w:eastAsia="Arial"/>
        </w:rPr>
        <w:t>;</w:t>
      </w:r>
    </w:p>
    <w:p w14:paraId="277AA25B" w14:textId="77777777" w:rsidR="00964C26" w:rsidRDefault="009F0C94" w:rsidP="00200048">
      <w:pPr>
        <w:pStyle w:val="MPLParagraphlevel2"/>
        <w:rPr>
          <w:rFonts w:eastAsia="Arial"/>
        </w:rPr>
      </w:pPr>
      <w:r>
        <w:rPr>
          <w:rFonts w:eastAsia="Arial"/>
        </w:rPr>
        <w:lastRenderedPageBreak/>
        <w:t>refer to the preferred format within their discipline where disciplinary specific rules are not covered by the rules on the Graduate Research Hub; and</w:t>
      </w:r>
    </w:p>
    <w:p w14:paraId="26B33AE0" w14:textId="77777777" w:rsidR="00964C26" w:rsidRDefault="009F0C94" w:rsidP="00200048">
      <w:pPr>
        <w:pStyle w:val="MPLParagraphlevel2"/>
        <w:rPr>
          <w:rFonts w:eastAsia="Arial"/>
        </w:rPr>
      </w:pPr>
      <w:r>
        <w:rPr>
          <w:rFonts w:eastAsia="Arial"/>
        </w:rPr>
        <w:t>obtain and provide an originality report of the submitted thesis or compilation using the University’s prescribed audit tool where required and as published on the Graduate Research Hub website.</w:t>
      </w:r>
    </w:p>
    <w:p w14:paraId="44E67798" w14:textId="77777777" w:rsidR="00964C26" w:rsidRDefault="009F0C94" w:rsidP="00200048">
      <w:pPr>
        <w:pStyle w:val="MPLParagraphlevel1"/>
      </w:pPr>
      <w:r>
        <w:t>A thesis or compilation may not be submitted for examination if:</w:t>
      </w:r>
    </w:p>
    <w:p w14:paraId="5886E25A"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previously examined or assessed and rejected unless approved by the Board;</w:t>
      </w:r>
    </w:p>
    <w:p w14:paraId="49A67242"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upon which the candidate has qualified in whole or in part for any other qualification obtained at a tertiary educational institution anywhere in the world;</w:t>
      </w:r>
    </w:p>
    <w:p w14:paraId="117A2678"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that is under examination or assessment for any other qualification of a tertiary educational institution anywhere in the world, except where the thesis is being submitted jointly to the University of Melbourne and another institution for a jointly awarded qualification; or</w:t>
      </w:r>
    </w:p>
    <w:p w14:paraId="162290EE" w14:textId="77777777" w:rsidR="00964C26" w:rsidRDefault="009F0C94" w:rsidP="00200048">
      <w:pPr>
        <w:pStyle w:val="MPLParagraphlevel2"/>
        <w:rPr>
          <w:rFonts w:eastAsia="Arial"/>
        </w:rPr>
      </w:pPr>
      <w:r>
        <w:rPr>
          <w:rFonts w:eastAsia="Arial"/>
        </w:rPr>
        <w:t>candidature has been terminated for unsatisfactory progress or misconduct.</w:t>
      </w:r>
    </w:p>
    <w:p w14:paraId="471EAAF0" w14:textId="77777777" w:rsidR="00964C26" w:rsidRDefault="009F0C94" w:rsidP="00200048">
      <w:pPr>
        <w:pStyle w:val="MPLParagraphlevel1"/>
      </w:pPr>
      <w:r>
        <w:t>A candidate who has been granted a late submission, or lapsed, or has failed to submit at the end of their lapse period, or is absent without leave, and wishes to submit their thesis for examination must meet the requirements of sections 4.83, 4.84 and 4.85, and:</w:t>
      </w:r>
    </w:p>
    <w:p w14:paraId="7E90A707" w14:textId="77777777" w:rsidR="00964C26" w:rsidRDefault="009F0C94" w:rsidP="00200048">
      <w:pPr>
        <w:pStyle w:val="MPLParagraphlevel2"/>
        <w:rPr>
          <w:rFonts w:eastAsia="Arial"/>
        </w:rPr>
      </w:pPr>
      <w:r>
        <w:rPr>
          <w:rFonts w:eastAsia="Arial"/>
        </w:rPr>
        <w:t>if the candidate’s supervisors are no longer associated with the University, the candidate must obtain support from a University registered supervisor in their department; and</w:t>
      </w:r>
    </w:p>
    <w:p w14:paraId="0E64C2B0" w14:textId="77777777" w:rsidR="00964C26" w:rsidRDefault="009F0C94" w:rsidP="00200048">
      <w:pPr>
        <w:pStyle w:val="MPLParagraphlevel2"/>
        <w:rPr>
          <w:rFonts w:eastAsia="Arial"/>
        </w:rPr>
      </w:pPr>
      <w:r>
        <w:rPr>
          <w:rFonts w:eastAsia="Arial"/>
        </w:rPr>
        <w:t>if the department no longer exists, approval to submit must be obtained from the head of the department nearest in discipline to the former department.</w:t>
      </w:r>
    </w:p>
    <w:p w14:paraId="4A8D9940" w14:textId="5822C9E1" w:rsidR="00964C26" w:rsidRDefault="009F0C94" w:rsidP="00200048">
      <w:pPr>
        <w:pStyle w:val="MPLParagraphlevel1"/>
      </w:pPr>
      <w:r>
        <w:t>A request made under 4.</w:t>
      </w:r>
      <w:r w:rsidR="002F3AC6">
        <w:t xml:space="preserve">88 </w:t>
      </w:r>
      <w:r>
        <w:t>must be approved by the President of the Board on recommendation of the relevant dean.</w:t>
      </w:r>
    </w:p>
    <w:p w14:paraId="353D18BF" w14:textId="77777777" w:rsidR="00964C26" w:rsidRDefault="009F0C94" w:rsidP="00200048">
      <w:pPr>
        <w:pStyle w:val="MPFSubheading"/>
      </w:pPr>
      <w:r>
        <w:t xml:space="preserve">Approval to proceed to </w:t>
      </w:r>
      <w:proofErr w:type="gramStart"/>
      <w:r>
        <w:t>examination</w:t>
      </w:r>
      <w:proofErr w:type="gramEnd"/>
    </w:p>
    <w:p w14:paraId="03EB31D4" w14:textId="77777777" w:rsidR="00964C26" w:rsidRDefault="009F0C94" w:rsidP="00200048">
      <w:pPr>
        <w:pStyle w:val="MPLParagraphlevel1"/>
      </w:pPr>
      <w:r>
        <w:t>On submission of the thesis, a candidate’s principal supervisor and the chair of examiners must advise the Academic Registrar whether the thesis should proceed to examination. Consideration of the thesis originality report provided by the candidate must be taken into consideration in allowing a thesis to proceed to examination. </w:t>
      </w:r>
    </w:p>
    <w:p w14:paraId="70E34EB4" w14:textId="77777777" w:rsidR="00964C26" w:rsidRDefault="009F0C94" w:rsidP="00200048">
      <w:pPr>
        <w:pStyle w:val="MPLParagraphlevel1"/>
      </w:pPr>
      <w:r>
        <w:t>If the advice from either the principal supervisor or the chair of examiners is that the thesis should not proceed to examination, the principal supervisor and/or the chair of examiners must make an argued case, documented in a report, and provide it to the Academic Registrar and the candidate.</w:t>
      </w:r>
    </w:p>
    <w:p w14:paraId="5B4F5489" w14:textId="77777777" w:rsidR="00964C26" w:rsidRDefault="009F0C94" w:rsidP="00200048">
      <w:pPr>
        <w:pStyle w:val="MPLParagraphlevel1"/>
      </w:pPr>
      <w:r>
        <w:t>In response to the report the candidate may choose to:</w:t>
      </w:r>
    </w:p>
    <w:p w14:paraId="0D6B036F" w14:textId="77777777" w:rsidR="00964C26" w:rsidRDefault="009F0C94" w:rsidP="00200048">
      <w:pPr>
        <w:pStyle w:val="MPLParagraphlevel2"/>
        <w:rPr>
          <w:rFonts w:eastAsia="Arial"/>
        </w:rPr>
      </w:pPr>
      <w:r>
        <w:rPr>
          <w:rFonts w:eastAsia="Arial"/>
        </w:rPr>
        <w:t>withdraw their submitted thesis and make the amendments within a timeframe specified by the advisory committee; or</w:t>
      </w:r>
    </w:p>
    <w:p w14:paraId="5D6F6FDF" w14:textId="77777777" w:rsidR="00964C26" w:rsidRDefault="009F0C94" w:rsidP="00200048">
      <w:pPr>
        <w:pStyle w:val="MPLParagraphlevel2"/>
        <w:rPr>
          <w:rFonts w:eastAsia="Arial"/>
        </w:rPr>
      </w:pPr>
      <w:r>
        <w:rPr>
          <w:rFonts w:eastAsia="Arial"/>
        </w:rPr>
        <w:t>proceed with the examination and provide a written response to the report referred to at 4.91 to the Academic Registrar.</w:t>
      </w:r>
    </w:p>
    <w:p w14:paraId="1723A0D8" w14:textId="77777777" w:rsidR="00964C26" w:rsidRDefault="009F0C94" w:rsidP="00200048">
      <w:pPr>
        <w:pStyle w:val="MPLParagraphlevel1"/>
      </w:pPr>
      <w:r>
        <w:lastRenderedPageBreak/>
        <w:t>If the candidate chooses to proceed with the examination the candidate’s response, the report and the thesis are reviewed by a subcommittee of HDRC.</w:t>
      </w:r>
    </w:p>
    <w:p w14:paraId="4CDE4859" w14:textId="77777777" w:rsidR="00964C26" w:rsidRDefault="009F0C94" w:rsidP="00200048">
      <w:pPr>
        <w:pStyle w:val="MPLParagraphlevel1"/>
      </w:pPr>
      <w:r>
        <w:t>The HDRC subcommittee may either allow the thesis to proceed or require a candidate to make changes to the thesis, within a specified timeframe, before it is accepted for examination.</w:t>
      </w:r>
    </w:p>
    <w:p w14:paraId="068A5BEC" w14:textId="77777777" w:rsidR="00964C26" w:rsidRDefault="009F0C94" w:rsidP="00200048">
      <w:pPr>
        <w:pStyle w:val="MPLParagraphlevel1"/>
      </w:pPr>
      <w:r>
        <w:t xml:space="preserve">If a candidate is dissatisfied with the decision of the HDRC subcommittee, they may appeal the decision in accordance with the </w:t>
      </w:r>
      <w:r w:rsidRPr="00200048">
        <w:t>Student Appeals Policy</w:t>
      </w:r>
      <w:r w:rsidR="00200048">
        <w:t xml:space="preserve"> (</w:t>
      </w:r>
      <w:hyperlink r:id="rId34" w:history="1">
        <w:r w:rsidR="00200048" w:rsidRPr="00200048">
          <w:rPr>
            <w:rStyle w:val="Hyperlink"/>
          </w:rPr>
          <w:t>MPF1323</w:t>
        </w:r>
      </w:hyperlink>
      <w:r w:rsidR="00200048">
        <w:t>)</w:t>
      </w:r>
      <w:r>
        <w:t>.</w:t>
      </w:r>
    </w:p>
    <w:p w14:paraId="04F51B32" w14:textId="77777777" w:rsidR="00964C26" w:rsidRDefault="009F0C94" w:rsidP="00200048">
      <w:pPr>
        <w:pStyle w:val="MPFSubheading"/>
      </w:pPr>
      <w:r>
        <w:t>Examination</w:t>
      </w:r>
    </w:p>
    <w:p w14:paraId="4A20F1F4" w14:textId="77777777" w:rsidR="00964C26" w:rsidRDefault="009F0C94" w:rsidP="00200048">
      <w:pPr>
        <w:pStyle w:val="MPLParagraphlevel1"/>
      </w:pPr>
      <w:r>
        <w:t xml:space="preserve">The Academic Registrar is responsible for administering the examination of all </w:t>
      </w:r>
      <w:proofErr w:type="gramStart"/>
      <w:r>
        <w:t>Master Degrees</w:t>
      </w:r>
      <w:proofErr w:type="gramEnd"/>
      <w:r>
        <w:t xml:space="preserve"> (Research) and Doctoral Degrees (Research) under the direction of the chair of HDRC, except for the examination of music recitals, which are administered by the relevant dean.</w:t>
      </w:r>
    </w:p>
    <w:p w14:paraId="6CEEFE98" w14:textId="77777777" w:rsidR="00964C26" w:rsidRDefault="009F0C94" w:rsidP="00200048">
      <w:pPr>
        <w:pStyle w:val="MPLParagraphlevel1"/>
      </w:pPr>
      <w:r>
        <w:t>Each examination is overseen by a chair of examiners and the chair of HDRC and conducted by a minimum of two independent examiners in accordance with this policy.</w:t>
      </w:r>
    </w:p>
    <w:p w14:paraId="27AA0F12" w14:textId="77777777" w:rsidR="00964C26" w:rsidRDefault="00200048" w:rsidP="00200048">
      <w:pPr>
        <w:pStyle w:val="MPLParagraphlevel1"/>
      </w:pPr>
      <w:r>
        <w:t>T</w:t>
      </w:r>
      <w:r w:rsidR="009F0C94">
        <w:t>he relevant dean is responsible for administering the examination of all higher doctorates.</w:t>
      </w:r>
    </w:p>
    <w:p w14:paraId="4210F723" w14:textId="77777777" w:rsidR="00964C26" w:rsidRDefault="009F0C94" w:rsidP="00200048">
      <w:pPr>
        <w:pStyle w:val="MPLParagraphlevel1"/>
      </w:pPr>
      <w:r>
        <w:t>A candidate undertaking a jointly awarded degree must meet the examination requirements of the University of Melbourne and the partner university. Any additional examination requirements, such as participation in an oral examination or defence of the thesis, must be agreed between the University of Melbourne and the partner university at the time the candidate is admitted to the course.</w:t>
      </w:r>
    </w:p>
    <w:p w14:paraId="1FE5CC23" w14:textId="77777777" w:rsidR="00964C26" w:rsidRDefault="009F0C94" w:rsidP="00200048">
      <w:pPr>
        <w:pStyle w:val="MPFSubheading"/>
      </w:pPr>
      <w:r>
        <w:t>Chair of examiners</w:t>
      </w:r>
    </w:p>
    <w:p w14:paraId="4DD52D0F" w14:textId="77777777" w:rsidR="00964C26" w:rsidRDefault="009F0C94" w:rsidP="00200048">
      <w:pPr>
        <w:pStyle w:val="MPLParagraphlevel1"/>
      </w:pPr>
      <w:r>
        <w:t>The chair of examiners (</w:t>
      </w:r>
      <w:proofErr w:type="spellStart"/>
      <w:r>
        <w:t>CoE</w:t>
      </w:r>
      <w:proofErr w:type="spellEnd"/>
      <w:r>
        <w:t>) is the head of department of the candidate, or a person nominated by the head of department, and must:</w:t>
      </w:r>
    </w:p>
    <w:p w14:paraId="062E8A32" w14:textId="77777777" w:rsidR="00964C26" w:rsidRDefault="009F0C94" w:rsidP="00200048">
      <w:pPr>
        <w:pStyle w:val="MPLParagraphlevel2"/>
        <w:rPr>
          <w:rFonts w:eastAsia="Arial"/>
        </w:rPr>
      </w:pPr>
      <w:r>
        <w:rPr>
          <w:rFonts w:eastAsia="Arial"/>
        </w:rPr>
        <w:t>be an academic member of staff in the candidate’s department;</w:t>
      </w:r>
    </w:p>
    <w:p w14:paraId="4278494D" w14:textId="77777777" w:rsidR="00964C26" w:rsidRDefault="009F0C94" w:rsidP="00200048">
      <w:pPr>
        <w:pStyle w:val="MPLParagraphlevel2"/>
        <w:rPr>
          <w:rFonts w:eastAsia="Arial"/>
        </w:rPr>
      </w:pPr>
      <w:r>
        <w:rPr>
          <w:rFonts w:eastAsia="Arial"/>
        </w:rPr>
        <w:t>be registered as a principal supervisor at the University of Melbourne; and</w:t>
      </w:r>
    </w:p>
    <w:p w14:paraId="1BA0DE19" w14:textId="77777777" w:rsidR="00964C26" w:rsidRDefault="009F0C94" w:rsidP="00200048">
      <w:pPr>
        <w:pStyle w:val="MPLParagraphlevel2"/>
        <w:rPr>
          <w:rFonts w:eastAsia="Arial"/>
        </w:rPr>
      </w:pPr>
      <w:r>
        <w:rPr>
          <w:rFonts w:eastAsia="Arial"/>
        </w:rPr>
        <w:t>not be a supervisor of the candidate under examination.</w:t>
      </w:r>
    </w:p>
    <w:p w14:paraId="057537BB" w14:textId="77777777" w:rsidR="00964C26" w:rsidRDefault="009F0C94" w:rsidP="00200048">
      <w:pPr>
        <w:pStyle w:val="MPLParagraphlevel1"/>
      </w:pPr>
      <w:r>
        <w:t xml:space="preserve">The </w:t>
      </w:r>
      <w:proofErr w:type="spellStart"/>
      <w:r>
        <w:t>CoE</w:t>
      </w:r>
      <w:proofErr w:type="spellEnd"/>
      <w:r>
        <w:t xml:space="preserve"> must:</w:t>
      </w:r>
    </w:p>
    <w:p w14:paraId="7CE7C1D1" w14:textId="77777777" w:rsidR="00964C26" w:rsidRDefault="009F0C94" w:rsidP="00200048">
      <w:pPr>
        <w:pStyle w:val="MPLParagraphlevel2"/>
        <w:rPr>
          <w:rFonts w:eastAsia="Arial"/>
        </w:rPr>
      </w:pPr>
      <w:r>
        <w:rPr>
          <w:rFonts w:eastAsia="Arial"/>
        </w:rPr>
        <w:t>nominate appropriately qualified, eligible examiners in consultation with the candidate’s supervisors;</w:t>
      </w:r>
    </w:p>
    <w:p w14:paraId="62037AAA" w14:textId="77777777" w:rsidR="00964C26" w:rsidRDefault="009F0C94" w:rsidP="00200048">
      <w:pPr>
        <w:pStyle w:val="MPLParagraphlevel2"/>
        <w:rPr>
          <w:rFonts w:eastAsia="Arial"/>
        </w:rPr>
      </w:pPr>
      <w:r>
        <w:rPr>
          <w:rFonts w:eastAsia="Arial"/>
        </w:rPr>
        <w:t>review the examiners’ reports and recommend the overall outcome of the examination to the chair of HDRC;</w:t>
      </w:r>
    </w:p>
    <w:p w14:paraId="3A85C2D2" w14:textId="77777777" w:rsidR="00964C26" w:rsidRDefault="009F0C94" w:rsidP="00200048">
      <w:pPr>
        <w:pStyle w:val="MPLParagraphlevel2"/>
        <w:rPr>
          <w:rFonts w:eastAsia="Arial"/>
        </w:rPr>
      </w:pPr>
      <w:r>
        <w:rPr>
          <w:rFonts w:eastAsia="Arial"/>
        </w:rPr>
        <w:t>recommend additional or replacement examiners where necessary; and</w:t>
      </w:r>
    </w:p>
    <w:p w14:paraId="388FBDD1" w14:textId="77777777" w:rsidR="00964C26" w:rsidRDefault="009F0C94" w:rsidP="00200048">
      <w:pPr>
        <w:pStyle w:val="MPLParagraphlevel2"/>
        <w:rPr>
          <w:rFonts w:eastAsia="Arial"/>
        </w:rPr>
      </w:pPr>
      <w:r>
        <w:rPr>
          <w:rFonts w:eastAsia="Arial"/>
        </w:rPr>
        <w:t>certify that the candidate has satisfactorily addressed examiners’ comments and complied with any conditions that must be met prior to the award of the degree.</w:t>
      </w:r>
    </w:p>
    <w:p w14:paraId="7D71D85C" w14:textId="77777777" w:rsidR="00964C26" w:rsidRDefault="009F0C94" w:rsidP="00200048">
      <w:pPr>
        <w:pStyle w:val="MPLParagraphlevel1"/>
      </w:pPr>
      <w:r>
        <w:t xml:space="preserve">If the </w:t>
      </w:r>
      <w:proofErr w:type="spellStart"/>
      <w:r>
        <w:t>CoE</w:t>
      </w:r>
      <w:proofErr w:type="spellEnd"/>
      <w:r>
        <w:t xml:space="preserve"> is unavailable for a period such that the progress of the examination would be delayed, the head of the department must appoint a new </w:t>
      </w:r>
      <w:proofErr w:type="spellStart"/>
      <w:r>
        <w:t>CoE</w:t>
      </w:r>
      <w:proofErr w:type="spellEnd"/>
      <w:r>
        <w:t xml:space="preserve">. The previous </w:t>
      </w:r>
      <w:proofErr w:type="spellStart"/>
      <w:r>
        <w:t>CoE</w:t>
      </w:r>
      <w:proofErr w:type="spellEnd"/>
      <w:r>
        <w:t xml:space="preserve"> has no further role in the examination.</w:t>
      </w:r>
    </w:p>
    <w:p w14:paraId="13862EAC" w14:textId="77777777" w:rsidR="00964C26" w:rsidRDefault="009F0C94" w:rsidP="00200048">
      <w:pPr>
        <w:pStyle w:val="MPFSubheading"/>
      </w:pPr>
      <w:r>
        <w:lastRenderedPageBreak/>
        <w:t>Examiners</w:t>
      </w:r>
    </w:p>
    <w:p w14:paraId="1DB929AB" w14:textId="77777777" w:rsidR="00964C26" w:rsidRDefault="009F0C94" w:rsidP="00200048">
      <w:pPr>
        <w:pStyle w:val="MPLParagraphlevel1"/>
      </w:pPr>
      <w:r>
        <w:t>Examiners must:</w:t>
      </w:r>
    </w:p>
    <w:p w14:paraId="63804CE7" w14:textId="77777777" w:rsidR="00964C26" w:rsidRDefault="009F0C94" w:rsidP="00200048">
      <w:pPr>
        <w:pStyle w:val="MPLParagraphlevel2"/>
        <w:rPr>
          <w:rFonts w:eastAsia="Arial"/>
        </w:rPr>
      </w:pPr>
      <w:r>
        <w:rPr>
          <w:rFonts w:eastAsia="Arial"/>
        </w:rPr>
        <w:t>be of good international standing in the research topic of the thesis or compilation;</w:t>
      </w:r>
    </w:p>
    <w:p w14:paraId="4C131435" w14:textId="77777777" w:rsidR="00964C26" w:rsidRDefault="009F0C94" w:rsidP="00200048">
      <w:pPr>
        <w:pStyle w:val="MPLParagraphlevel2"/>
        <w:rPr>
          <w:rFonts w:eastAsia="Arial"/>
        </w:rPr>
      </w:pPr>
      <w:r>
        <w:rPr>
          <w:rFonts w:eastAsia="Arial"/>
        </w:rPr>
        <w:t>be qualified to at least the same level as the award they are examining or have equivalent research experience;</w:t>
      </w:r>
    </w:p>
    <w:p w14:paraId="12FB0A60" w14:textId="77777777" w:rsidR="00964C26" w:rsidRDefault="009F0C94" w:rsidP="00200048">
      <w:pPr>
        <w:pStyle w:val="MPLParagraphlevel2"/>
        <w:rPr>
          <w:rFonts w:eastAsia="Arial"/>
        </w:rPr>
      </w:pPr>
      <w:r>
        <w:rPr>
          <w:rFonts w:eastAsia="Arial"/>
        </w:rPr>
        <w:t>have previous experience as a supervisor or examiner at the AQF level at which they examine; and</w:t>
      </w:r>
    </w:p>
    <w:p w14:paraId="43C9C58A" w14:textId="77777777" w:rsidR="00964C26" w:rsidRDefault="009F0C94" w:rsidP="00200048">
      <w:pPr>
        <w:pStyle w:val="MPLParagraphlevel2"/>
        <w:rPr>
          <w:rFonts w:eastAsia="Arial"/>
        </w:rPr>
      </w:pPr>
      <w:r>
        <w:rPr>
          <w:rFonts w:eastAsia="Arial"/>
        </w:rPr>
        <w:t>be from different institutions.</w:t>
      </w:r>
    </w:p>
    <w:p w14:paraId="2EAC0F9B" w14:textId="77777777" w:rsidR="00964C26" w:rsidRDefault="009F0C94" w:rsidP="00200048">
      <w:pPr>
        <w:pStyle w:val="MPLParagraphlevel1"/>
      </w:pPr>
      <w:r>
        <w:t xml:space="preserve">If an examiner’s unique experience is considered essential to the examination but they do not meet the criteria at 4.103 (b) or (c) the </w:t>
      </w:r>
      <w:proofErr w:type="spellStart"/>
      <w:r>
        <w:t>CoE</w:t>
      </w:r>
      <w:proofErr w:type="spellEnd"/>
      <w:r>
        <w:t xml:space="preserve"> may seek a waiver of the requirements which may only be given by the chair of HDRC.</w:t>
      </w:r>
    </w:p>
    <w:p w14:paraId="19DF8A4C" w14:textId="77777777" w:rsidR="00964C26" w:rsidRDefault="009F0C94" w:rsidP="00200048">
      <w:pPr>
        <w:pStyle w:val="MPLParagraphlevel1"/>
      </w:pPr>
      <w:r>
        <w:t>At least one examiner must, within the last five years:</w:t>
      </w:r>
    </w:p>
    <w:p w14:paraId="2FC9490C" w14:textId="77777777" w:rsidR="00964C26" w:rsidRDefault="009F0C94" w:rsidP="00200048">
      <w:pPr>
        <w:pStyle w:val="MPLParagraphlevel2"/>
        <w:rPr>
          <w:rFonts w:eastAsia="Arial"/>
        </w:rPr>
      </w:pPr>
      <w:r>
        <w:rPr>
          <w:rFonts w:eastAsia="Arial"/>
        </w:rPr>
        <w:t>be actively associated with a university or an institution of higher learning, or</w:t>
      </w:r>
    </w:p>
    <w:p w14:paraId="5804171E" w14:textId="77777777" w:rsidR="00964C26" w:rsidRDefault="009F0C94" w:rsidP="00200048">
      <w:pPr>
        <w:pStyle w:val="MPLParagraphlevel2"/>
        <w:rPr>
          <w:rFonts w:eastAsia="Arial"/>
        </w:rPr>
      </w:pPr>
      <w:r>
        <w:rPr>
          <w:rFonts w:eastAsia="Arial"/>
        </w:rPr>
        <w:t>a research institution, or</w:t>
      </w:r>
    </w:p>
    <w:p w14:paraId="2FF7B7DC" w14:textId="77777777" w:rsidR="00964C26" w:rsidRDefault="009F0C94" w:rsidP="00200048">
      <w:pPr>
        <w:pStyle w:val="MPLParagraphlevel2"/>
        <w:rPr>
          <w:rFonts w:eastAsia="Arial"/>
        </w:rPr>
      </w:pPr>
      <w:r>
        <w:rPr>
          <w:rFonts w:eastAsia="Arial"/>
        </w:rPr>
        <w:t>hold equivalent demonstrable research expertise.</w:t>
      </w:r>
    </w:p>
    <w:p w14:paraId="4D554438" w14:textId="77777777" w:rsidR="00964C26" w:rsidRDefault="009F0C94" w:rsidP="00200048">
      <w:pPr>
        <w:pStyle w:val="MPLParagraphlevel1"/>
      </w:pPr>
      <w:r>
        <w:t>At least one examiner for a Doctoral Degree (Research) must be resident outside Australia, unless the thesis includes a performance or exhibition of creative works, in which case at least one examiner must be resident outside the state of Victoria.</w:t>
      </w:r>
    </w:p>
    <w:p w14:paraId="5B26F541" w14:textId="77777777" w:rsidR="00964C26" w:rsidRDefault="009F0C94" w:rsidP="00200048">
      <w:pPr>
        <w:pStyle w:val="MPLParagraphlevel1"/>
      </w:pPr>
      <w:r>
        <w:t xml:space="preserve">At least one examiner for a </w:t>
      </w:r>
      <w:proofErr w:type="gramStart"/>
      <w:r>
        <w:t>Master Degree</w:t>
      </w:r>
      <w:proofErr w:type="gramEnd"/>
      <w:r>
        <w:t xml:space="preserve"> (Research) must be resident outside the state of Victoria, unless the thesis includes a performance or exhibition of creative works, in which case both examiners may be resident in the state of Victoria.</w:t>
      </w:r>
    </w:p>
    <w:p w14:paraId="009BA173" w14:textId="77777777" w:rsidR="00964C26" w:rsidRDefault="009F0C94" w:rsidP="00200048">
      <w:pPr>
        <w:pStyle w:val="MPLParagraphlevel1"/>
      </w:pPr>
      <w:r>
        <w:t>A person is ineligible to serve as an examiner if they have any formal or informal association with the candidate, supervisors, chair of examiners, or the University which would impair their ability to perform the examination without bias, including:</w:t>
      </w:r>
    </w:p>
    <w:p w14:paraId="6D8D5C4A" w14:textId="77777777" w:rsidR="00964C26" w:rsidRDefault="009F0C94" w:rsidP="00200048">
      <w:pPr>
        <w:pStyle w:val="MPLParagraphlevel2"/>
        <w:rPr>
          <w:rFonts w:eastAsia="Arial"/>
        </w:rPr>
      </w:pPr>
      <w:r>
        <w:rPr>
          <w:rFonts w:eastAsia="Arial"/>
        </w:rPr>
        <w:t xml:space="preserve">have a pending appointment with, are currently employed or have been employed </w:t>
      </w:r>
      <w:proofErr w:type="gramStart"/>
      <w:r>
        <w:rPr>
          <w:rFonts w:eastAsia="Arial"/>
        </w:rPr>
        <w:t>by,</w:t>
      </w:r>
      <w:proofErr w:type="gramEnd"/>
      <w:r>
        <w:rPr>
          <w:rFonts w:eastAsia="Arial"/>
        </w:rPr>
        <w:t xml:space="preserve"> the University of Melbourne in any capacity within the last five years;</w:t>
      </w:r>
    </w:p>
    <w:p w14:paraId="631A86D5" w14:textId="77777777" w:rsidR="00964C26" w:rsidRDefault="009F0C94" w:rsidP="00200048">
      <w:pPr>
        <w:pStyle w:val="MPLParagraphlevel2"/>
        <w:rPr>
          <w:rFonts w:eastAsia="Arial"/>
        </w:rPr>
      </w:pPr>
      <w:r>
        <w:rPr>
          <w:rFonts w:eastAsia="Arial"/>
        </w:rPr>
        <w:t>have a pending appointment with, currently hold or have within the past five years held, an honorary position with the University of Melbourne;</w:t>
      </w:r>
    </w:p>
    <w:p w14:paraId="0BB379D1" w14:textId="77777777" w:rsidR="00964C26" w:rsidRDefault="009F0C94" w:rsidP="00200048">
      <w:pPr>
        <w:pStyle w:val="MPLParagraphlevel2"/>
        <w:rPr>
          <w:rFonts w:eastAsia="Arial"/>
        </w:rPr>
      </w:pPr>
      <w:r>
        <w:rPr>
          <w:rFonts w:eastAsia="Arial"/>
        </w:rPr>
        <w:t>are employed by an Approved Outside Institution of the University;</w:t>
      </w:r>
    </w:p>
    <w:p w14:paraId="7F54F1A2" w14:textId="77777777" w:rsidR="00964C26" w:rsidRDefault="009F0C94" w:rsidP="00200048">
      <w:pPr>
        <w:pStyle w:val="MPLParagraphlevel2"/>
        <w:rPr>
          <w:rFonts w:eastAsia="Arial"/>
        </w:rPr>
      </w:pPr>
      <w:r>
        <w:rPr>
          <w:rFonts w:eastAsia="Arial"/>
        </w:rPr>
        <w:t>are a supervisor or advisory committee member of the candidate under examination;</w:t>
      </w:r>
    </w:p>
    <w:p w14:paraId="78C6C238" w14:textId="77777777" w:rsidR="00964C26" w:rsidRDefault="009F0C94" w:rsidP="00200048">
      <w:pPr>
        <w:pStyle w:val="MPLParagraphlevel2"/>
        <w:rPr>
          <w:rFonts w:eastAsia="Arial"/>
        </w:rPr>
      </w:pPr>
      <w:r>
        <w:rPr>
          <w:rFonts w:eastAsia="Arial"/>
        </w:rPr>
        <w:t>have had direct involvement with the thesis through reading drafts or discussing the research;</w:t>
      </w:r>
    </w:p>
    <w:p w14:paraId="7C15CD9C" w14:textId="77777777" w:rsidR="00964C26" w:rsidRDefault="009F0C94" w:rsidP="00200048">
      <w:pPr>
        <w:pStyle w:val="MPLParagraphlevel2"/>
        <w:rPr>
          <w:rFonts w:eastAsia="Arial"/>
        </w:rPr>
      </w:pPr>
      <w:r>
        <w:rPr>
          <w:rFonts w:eastAsia="Arial"/>
        </w:rPr>
        <w:t>have been a close collaborator or close co-author of the candidate under examination within the last five years;</w:t>
      </w:r>
    </w:p>
    <w:p w14:paraId="6B7DCFD5" w14:textId="77777777" w:rsidR="00964C26" w:rsidRDefault="009F0C94" w:rsidP="00200048">
      <w:pPr>
        <w:pStyle w:val="MPLParagraphlevel2"/>
        <w:rPr>
          <w:rFonts w:eastAsia="Arial"/>
        </w:rPr>
      </w:pPr>
      <w:r>
        <w:rPr>
          <w:rFonts w:eastAsia="Arial"/>
        </w:rPr>
        <w:t>have been a close collaborator or close co-author of the candidate’s supervisors within the last five years;</w:t>
      </w:r>
    </w:p>
    <w:p w14:paraId="549B0973" w14:textId="77777777" w:rsidR="00964C26" w:rsidRDefault="009F0C94" w:rsidP="00200048">
      <w:pPr>
        <w:pStyle w:val="MPLParagraphlevel2"/>
        <w:rPr>
          <w:rFonts w:eastAsia="Arial"/>
        </w:rPr>
      </w:pPr>
      <w:r>
        <w:rPr>
          <w:rFonts w:eastAsia="Arial"/>
        </w:rPr>
        <w:t>have a real or perceived conflict of interest with the candidate, the supervisors, or the University, or the relevant Approved Outside Institution, of a personal, professional, or commercial nature.</w:t>
      </w:r>
    </w:p>
    <w:p w14:paraId="5AC67058" w14:textId="77777777" w:rsidR="00964C26" w:rsidRDefault="009F0C94" w:rsidP="00200048">
      <w:pPr>
        <w:pStyle w:val="MPLParagraphlevel1"/>
        <w:numPr>
          <w:ilvl w:val="0"/>
          <w:numId w:val="0"/>
        </w:numPr>
        <w:ind w:left="357"/>
      </w:pPr>
      <w:r>
        <w:lastRenderedPageBreak/>
        <w:t xml:space="preserve">4.108A. Where the </w:t>
      </w:r>
      <w:proofErr w:type="spellStart"/>
      <w:r>
        <w:t>CoE</w:t>
      </w:r>
      <w:proofErr w:type="spellEnd"/>
      <w:r>
        <w:t xml:space="preserve"> is unclear about whether a proposed examiner would be ineligible, advice should be sought from the Chair of HDRC.   </w:t>
      </w:r>
    </w:p>
    <w:p w14:paraId="09D0CB92" w14:textId="77777777" w:rsidR="00964C26" w:rsidRDefault="009F0C94" w:rsidP="00200048">
      <w:pPr>
        <w:pStyle w:val="MPLParagraphlevel1"/>
        <w:numPr>
          <w:ilvl w:val="0"/>
          <w:numId w:val="0"/>
        </w:numPr>
        <w:ind w:left="357"/>
      </w:pPr>
      <w:r>
        <w:t xml:space="preserve">4.108B. Where the </w:t>
      </w:r>
      <w:proofErr w:type="spellStart"/>
      <w:r>
        <w:t>CoE</w:t>
      </w:r>
      <w:proofErr w:type="spellEnd"/>
      <w:r>
        <w:t xml:space="preserve"> has an association with an Examiner as described at 4.108, a different </w:t>
      </w:r>
      <w:proofErr w:type="spellStart"/>
      <w:r>
        <w:t>CoE</w:t>
      </w:r>
      <w:proofErr w:type="spellEnd"/>
      <w:r>
        <w:t xml:space="preserve"> must be appointed.</w:t>
      </w:r>
    </w:p>
    <w:p w14:paraId="2A1E4D39" w14:textId="77777777" w:rsidR="00964C26" w:rsidRDefault="009F0C94" w:rsidP="00200048">
      <w:pPr>
        <w:pStyle w:val="MPLParagraphlevel1"/>
      </w:pPr>
      <w:r>
        <w:t>A person is ineligible to serve as an examiner for a jointly awarded degree if any of the conditions listed at 4.108 apply, or if they are currently or have within the past five years been, employed by or affiliated with the partner institution of the jointly awarded degree.</w:t>
      </w:r>
    </w:p>
    <w:p w14:paraId="67854B7C" w14:textId="77777777" w:rsidR="00964C26" w:rsidRPr="00200048" w:rsidRDefault="009F0C94" w:rsidP="00200048">
      <w:pPr>
        <w:pStyle w:val="MPLParagraphlevel1"/>
      </w:pPr>
      <w:r>
        <w:t xml:space="preserve">Failure by the supervisors or </w:t>
      </w:r>
      <w:proofErr w:type="spellStart"/>
      <w:r>
        <w:t>CoE</w:t>
      </w:r>
      <w:proofErr w:type="spellEnd"/>
      <w:r>
        <w:t xml:space="preserve"> to disclose a conflict of interest as set out at 4.108, or cases where a conflict of interest might reasonably be perceived to exist, may be considered grounds for research misconduct, as outlined in the </w:t>
      </w:r>
      <w:r w:rsidRPr="00200048">
        <w:t>Research Integrity and Misconduct Policy</w:t>
      </w:r>
      <w:r w:rsidR="00200048">
        <w:t xml:space="preserve"> (</w:t>
      </w:r>
      <w:hyperlink r:id="rId35" w:history="1">
        <w:r w:rsidR="00200048" w:rsidRPr="00200048">
          <w:rPr>
            <w:rStyle w:val="Hyperlink"/>
          </w:rPr>
          <w:t>MPF1318</w:t>
        </w:r>
      </w:hyperlink>
      <w:r w:rsidR="00200048">
        <w:t>)</w:t>
      </w:r>
      <w:r w:rsidRPr="00200048">
        <w:t>.</w:t>
      </w:r>
    </w:p>
    <w:p w14:paraId="7FADD4B2" w14:textId="77777777" w:rsidR="00964C26" w:rsidRDefault="009F0C94" w:rsidP="00200048">
      <w:pPr>
        <w:pStyle w:val="MPFSubheading"/>
      </w:pPr>
      <w:r>
        <w:t>Replacement of examiners</w:t>
      </w:r>
    </w:p>
    <w:p w14:paraId="4AC5AC25" w14:textId="77777777" w:rsidR="00964C26" w:rsidRDefault="009F0C94" w:rsidP="00200048">
      <w:pPr>
        <w:pStyle w:val="MPLParagraphlevel1"/>
      </w:pPr>
      <w:r>
        <w:t>The chair of HDRC may excuse any examiner and/or annul their report if:</w:t>
      </w:r>
    </w:p>
    <w:p w14:paraId="1C69EE78" w14:textId="77777777" w:rsidR="00964C26" w:rsidRDefault="009F0C94" w:rsidP="00200048">
      <w:pPr>
        <w:pStyle w:val="MPLParagraphlevel2"/>
        <w:rPr>
          <w:rFonts w:eastAsia="Arial"/>
        </w:rPr>
      </w:pPr>
      <w:r>
        <w:rPr>
          <w:rFonts w:eastAsia="Arial"/>
        </w:rPr>
        <w:t>the examiner fails to return a completed examination report within the requested time;</w:t>
      </w:r>
    </w:p>
    <w:p w14:paraId="26EE4212" w14:textId="77777777" w:rsidR="00964C26" w:rsidRDefault="009F0C94" w:rsidP="00200048">
      <w:pPr>
        <w:pStyle w:val="MPLParagraphlevel2"/>
        <w:rPr>
          <w:rFonts w:eastAsia="Arial"/>
        </w:rPr>
      </w:pPr>
      <w:proofErr w:type="spellStart"/>
      <w:r>
        <w:rPr>
          <w:rFonts w:eastAsia="Arial"/>
        </w:rPr>
        <w:t>unauthorised</w:t>
      </w:r>
      <w:proofErr w:type="spellEnd"/>
      <w:r>
        <w:rPr>
          <w:rFonts w:eastAsia="Arial"/>
        </w:rPr>
        <w:t xml:space="preserve"> contact with that examiner is found to have occurred during the examination;</w:t>
      </w:r>
    </w:p>
    <w:p w14:paraId="1D69632A" w14:textId="77777777" w:rsidR="00964C26" w:rsidRDefault="009F0C94" w:rsidP="00200048">
      <w:pPr>
        <w:pStyle w:val="MPLParagraphlevel2"/>
        <w:rPr>
          <w:rFonts w:eastAsia="Arial"/>
        </w:rPr>
      </w:pPr>
      <w:r>
        <w:rPr>
          <w:rFonts w:eastAsia="Arial"/>
        </w:rPr>
        <w:t xml:space="preserve">the examiner has </w:t>
      </w:r>
      <w:proofErr w:type="gramStart"/>
      <w:r>
        <w:rPr>
          <w:rFonts w:eastAsia="Arial"/>
        </w:rPr>
        <w:t>made contact with</w:t>
      </w:r>
      <w:proofErr w:type="gramEnd"/>
      <w:r>
        <w:rPr>
          <w:rFonts w:eastAsia="Arial"/>
        </w:rPr>
        <w:t xml:space="preserve"> the candidate or their supervisors;</w:t>
      </w:r>
    </w:p>
    <w:p w14:paraId="6F0E05B1" w14:textId="77777777" w:rsidR="00964C26" w:rsidRDefault="009F0C94" w:rsidP="00200048">
      <w:pPr>
        <w:pStyle w:val="MPLParagraphlevel2"/>
        <w:rPr>
          <w:rFonts w:eastAsia="Arial"/>
        </w:rPr>
      </w:pPr>
      <w:r>
        <w:rPr>
          <w:rFonts w:eastAsia="Arial"/>
        </w:rPr>
        <w:t>a conflict of interest is discovered during or after the examination; and/or</w:t>
      </w:r>
    </w:p>
    <w:p w14:paraId="07FD436D" w14:textId="77777777" w:rsidR="00964C26" w:rsidRDefault="009F0C94" w:rsidP="00200048">
      <w:pPr>
        <w:pStyle w:val="MPLParagraphlevel2"/>
        <w:rPr>
          <w:rFonts w:eastAsia="Arial"/>
        </w:rPr>
      </w:pPr>
      <w:r>
        <w:rPr>
          <w:rFonts w:eastAsia="Arial"/>
        </w:rPr>
        <w:t>they have reason to believe that the examination has not been properly conducted.</w:t>
      </w:r>
    </w:p>
    <w:p w14:paraId="1A106446" w14:textId="77777777" w:rsidR="00964C26" w:rsidRDefault="009F0C94" w:rsidP="00200048">
      <w:pPr>
        <w:pStyle w:val="MPFSubheading"/>
      </w:pPr>
      <w:r>
        <w:t>Examination confidentiality</w:t>
      </w:r>
    </w:p>
    <w:p w14:paraId="01E38356" w14:textId="77777777" w:rsidR="00964C26" w:rsidRDefault="009F0C94" w:rsidP="00200048">
      <w:pPr>
        <w:pStyle w:val="MPLParagraphlevel1"/>
      </w:pPr>
      <w:r>
        <w:t>Potential examiners are only given the name of the candidate, the course type, and the title and short summary of the thesis or compilation.</w:t>
      </w:r>
    </w:p>
    <w:p w14:paraId="10322CAC" w14:textId="77777777" w:rsidR="00964C26" w:rsidRDefault="009F0C94" w:rsidP="00200048">
      <w:pPr>
        <w:pStyle w:val="MPLParagraphlevel1"/>
      </w:pPr>
      <w:r>
        <w:t>Candidates must not be told the identity of any examiners nominated or appointed until a final ‘pass’ grade has been awarded and with the examiner’s written permission.</w:t>
      </w:r>
    </w:p>
    <w:p w14:paraId="6FE87F53" w14:textId="77777777" w:rsidR="00964C26" w:rsidRDefault="009F0C94" w:rsidP="00200048">
      <w:pPr>
        <w:pStyle w:val="MPLParagraphlevel1"/>
      </w:pPr>
      <w:r>
        <w:t xml:space="preserve">Nominations of examiners are submitted to the Academic Registrar. Following submission, only the Academic Registrar, the </w:t>
      </w:r>
      <w:proofErr w:type="spellStart"/>
      <w:r>
        <w:t>CoE</w:t>
      </w:r>
      <w:proofErr w:type="spellEnd"/>
      <w:r>
        <w:t xml:space="preserve"> or the Chair of HDRC may correspond with the examiners about the examination.</w:t>
      </w:r>
    </w:p>
    <w:p w14:paraId="456996E0" w14:textId="77777777" w:rsidR="00964C26" w:rsidRDefault="009F0C94" w:rsidP="00200048">
      <w:pPr>
        <w:pStyle w:val="MPLParagraphlevel1"/>
      </w:pPr>
      <w:r>
        <w:t>An examiner must not be told the identity of the other examiners.</w:t>
      </w:r>
    </w:p>
    <w:p w14:paraId="7ECDF5CC" w14:textId="77777777" w:rsidR="00964C26" w:rsidRDefault="009F0C94" w:rsidP="00200048">
      <w:pPr>
        <w:pStyle w:val="MPLParagraphlevel1"/>
      </w:pPr>
      <w:r>
        <w:t>A candidate, their supervisors or the chair of examiners may request that a thesis be examined under a confidentiality agreement if the thesis contains material that is commercial-in-confidence, may give rise to a patent, or may be legally or culturally sensitive.</w:t>
      </w:r>
    </w:p>
    <w:p w14:paraId="3E5B9EED" w14:textId="77777777" w:rsidR="00964C26" w:rsidRDefault="009F0C94" w:rsidP="00200048">
      <w:pPr>
        <w:pStyle w:val="MPLParagraphlevel1"/>
      </w:pPr>
      <w:r>
        <w:t>If the chair of HDRC agrees that the thesis or compilation should be examined under a confidentiality agreement, the thesis or compilation must not be sent to an examiner until they have signed a confidentiality agreement.</w:t>
      </w:r>
    </w:p>
    <w:p w14:paraId="5BECC1D6" w14:textId="77777777" w:rsidR="00964C26" w:rsidRDefault="009F0C94" w:rsidP="00200048">
      <w:pPr>
        <w:pStyle w:val="MPLParagraphlevel1"/>
      </w:pPr>
      <w:r>
        <w:t>Approval of a request for a confidential examination does not confer any automatic or legal right to restriction of public access to the thesis or compilation after the examination is complete.</w:t>
      </w:r>
    </w:p>
    <w:p w14:paraId="24D5237C" w14:textId="77777777" w:rsidR="00964C26" w:rsidRDefault="009F0C94" w:rsidP="00200048">
      <w:pPr>
        <w:pStyle w:val="MPFSubheading"/>
      </w:pPr>
      <w:r>
        <w:t>Examination result</w:t>
      </w:r>
    </w:p>
    <w:p w14:paraId="1FBEFF60" w14:textId="77777777" w:rsidR="00964C26" w:rsidRDefault="009F0C94" w:rsidP="00200048">
      <w:pPr>
        <w:pStyle w:val="MPLParagraphlevel1"/>
      </w:pPr>
      <w:r>
        <w:t>A result cannot be confirmed until two valid examiners’ reports have been received.</w:t>
      </w:r>
    </w:p>
    <w:p w14:paraId="7D57C99B" w14:textId="77777777" w:rsidR="00964C26" w:rsidRDefault="009F0C94" w:rsidP="00200048">
      <w:pPr>
        <w:pStyle w:val="MPLParagraphlevel1"/>
      </w:pPr>
      <w:r>
        <w:lastRenderedPageBreak/>
        <w:t>A candidate who is awarded a result of ‘pass with minor amendments’, or ‘pass with revisions’, may only make changes to their thesis or compilation specified or implied by the examiners.</w:t>
      </w:r>
    </w:p>
    <w:p w14:paraId="2BDE474E" w14:textId="77777777" w:rsidR="00964C26" w:rsidRDefault="009F0C94" w:rsidP="00200048">
      <w:pPr>
        <w:pStyle w:val="MPLParagraphlevel1"/>
      </w:pPr>
      <w:r>
        <w:t xml:space="preserve">If a candidate does not return their corrected thesis or compilation within three months of the required date following the result at 4.120, they are awarded a </w:t>
      </w:r>
      <w:proofErr w:type="gramStart"/>
      <w:r>
        <w:t>fail</w:t>
      </w:r>
      <w:proofErr w:type="gramEnd"/>
      <w:r>
        <w:t xml:space="preserve"> result.</w:t>
      </w:r>
    </w:p>
    <w:p w14:paraId="096248E4" w14:textId="77777777" w:rsidR="00964C26" w:rsidRDefault="009F0C94" w:rsidP="00200048">
      <w:pPr>
        <w:pStyle w:val="MPLParagraphlevel1"/>
      </w:pPr>
      <w:r>
        <w:t>If a candidate is required to revise and resubmit their thesis, they have one opportunity to ensure the thesis meets the requirements for the award of the degree on second examination.</w:t>
      </w:r>
    </w:p>
    <w:p w14:paraId="1A93063B" w14:textId="77777777" w:rsidR="00964C26" w:rsidRDefault="009F0C94" w:rsidP="00200048">
      <w:pPr>
        <w:pStyle w:val="MPLParagraphlevel1"/>
      </w:pPr>
      <w:r>
        <w:t xml:space="preserve">A candidate must submit the revised thesis for </w:t>
      </w:r>
      <w:proofErr w:type="gramStart"/>
      <w:r>
        <w:t>second</w:t>
      </w:r>
      <w:proofErr w:type="gramEnd"/>
      <w:r>
        <w:t xml:space="preserve"> examination within 12 months for a Doctoral Degree (Research) thesis and within six months for a </w:t>
      </w:r>
      <w:proofErr w:type="gramStart"/>
      <w:r>
        <w:t>Master Degree</w:t>
      </w:r>
      <w:proofErr w:type="gramEnd"/>
      <w:r>
        <w:t xml:space="preserve"> (Research) thesis. One final extension to the deadline, of no more than six months may be granted. In exceptional circumstances, the chair of HDRC may grant a further extension.</w:t>
      </w:r>
    </w:p>
    <w:p w14:paraId="1562D024" w14:textId="77777777" w:rsidR="00964C26" w:rsidRDefault="009F0C94" w:rsidP="00200048">
      <w:pPr>
        <w:pStyle w:val="MPLParagraphlevel1"/>
      </w:pPr>
      <w:r>
        <w:t xml:space="preserve">If a candidate does not submit their revised thesis by the expiration of the final deadline detailed at </w:t>
      </w:r>
      <w:proofErr w:type="gramStart"/>
      <w:r>
        <w:t>4.123</w:t>
      </w:r>
      <w:proofErr w:type="gramEnd"/>
      <w:r>
        <w:t xml:space="preserve"> they are awarded a fail result.</w:t>
      </w:r>
    </w:p>
    <w:p w14:paraId="0AD7AC3B" w14:textId="77777777" w:rsidR="00964C26" w:rsidRDefault="009F0C94" w:rsidP="00200048">
      <w:pPr>
        <w:pStyle w:val="MPLParagraphlevel1"/>
      </w:pPr>
      <w:r>
        <w:t>The result of the second examination of any thesis is final.</w:t>
      </w:r>
    </w:p>
    <w:p w14:paraId="0EF6FAED" w14:textId="77777777" w:rsidR="00964C26" w:rsidRDefault="009F0C94" w:rsidP="00200048">
      <w:pPr>
        <w:pStyle w:val="MPFSubheading"/>
      </w:pPr>
      <w:r>
        <w:t>Grading scheme and marking</w:t>
      </w:r>
    </w:p>
    <w:p w14:paraId="3404FF02" w14:textId="77777777" w:rsidR="00964C26" w:rsidRDefault="009F0C94" w:rsidP="00200048">
      <w:pPr>
        <w:pStyle w:val="MPLParagraphlevel1"/>
      </w:pPr>
      <w:r>
        <w:t>To be awarded a pass grade, a Doctoral Degree (Research) thesis or compilation must:</w:t>
      </w:r>
    </w:p>
    <w:p w14:paraId="3EB7D04F" w14:textId="77777777" w:rsidR="00964C26" w:rsidRDefault="009F0C94" w:rsidP="00200048">
      <w:pPr>
        <w:pStyle w:val="MPLParagraphlevel2"/>
        <w:rPr>
          <w:rFonts w:eastAsia="Arial"/>
        </w:rPr>
      </w:pPr>
      <w:r>
        <w:rPr>
          <w:rFonts w:eastAsia="Arial"/>
        </w:rPr>
        <w:t>demonstrate authority in the candidate’s field and show evidence of command of knowledge in relevant fields;</w:t>
      </w:r>
    </w:p>
    <w:p w14:paraId="2CBF45B6" w14:textId="77777777" w:rsidR="00964C26" w:rsidRDefault="009F0C94" w:rsidP="00200048">
      <w:pPr>
        <w:pStyle w:val="MPLParagraphlevel2"/>
        <w:rPr>
          <w:rFonts w:eastAsia="Arial"/>
        </w:rPr>
      </w:pPr>
      <w:r>
        <w:rPr>
          <w:rFonts w:eastAsia="Arial"/>
        </w:rPr>
        <w:t>demonstrate a thorough grasp of the appropriate methodological techniques and an awareness of their limitations;</w:t>
      </w:r>
    </w:p>
    <w:p w14:paraId="40E216E2" w14:textId="77777777" w:rsidR="00964C26" w:rsidRDefault="009F0C94" w:rsidP="00200048">
      <w:pPr>
        <w:pStyle w:val="MPLParagraphlevel2"/>
        <w:rPr>
          <w:rFonts w:eastAsia="Arial"/>
        </w:rPr>
      </w:pPr>
      <w:proofErr w:type="gramStart"/>
      <w:r>
        <w:rPr>
          <w:rFonts w:eastAsia="Arial"/>
        </w:rPr>
        <w:t>make a contribution</w:t>
      </w:r>
      <w:proofErr w:type="gramEnd"/>
      <w:r>
        <w:rPr>
          <w:rFonts w:eastAsia="Arial"/>
        </w:rPr>
        <w:t xml:space="preserve"> to knowledge that rests on originality of approach and/or interpretation of the findings and, in some cases, the discovery of new facts;</w:t>
      </w:r>
    </w:p>
    <w:p w14:paraId="3C94A5AF" w14:textId="77777777" w:rsidR="00964C26" w:rsidRDefault="009F0C94" w:rsidP="00200048">
      <w:pPr>
        <w:pStyle w:val="MPLParagraphlevel2"/>
        <w:rPr>
          <w:rFonts w:eastAsia="Arial"/>
        </w:rPr>
      </w:pPr>
      <w:r>
        <w:rPr>
          <w:rFonts w:eastAsia="Arial"/>
        </w:rPr>
        <w:t>demonstrate the candidate’s ability to communicate research findings effectively in the professional arena and in an international context;</w:t>
      </w:r>
    </w:p>
    <w:p w14:paraId="2DA4EC4A" w14:textId="77777777" w:rsidR="00964C26" w:rsidRDefault="009F0C94" w:rsidP="00200048">
      <w:pPr>
        <w:pStyle w:val="MPLParagraphlevel2"/>
        <w:rPr>
          <w:rFonts w:eastAsia="Arial"/>
        </w:rPr>
      </w:pPr>
      <w:r>
        <w:rPr>
          <w:rFonts w:eastAsia="Arial"/>
        </w:rPr>
        <w:t>demonstrate an understanding of, and commitment to, research ethics and integrity; and</w:t>
      </w:r>
    </w:p>
    <w:p w14:paraId="2B0991D3" w14:textId="77777777" w:rsidR="00964C26" w:rsidRDefault="009F0C94" w:rsidP="00200048">
      <w:pPr>
        <w:pStyle w:val="MPLParagraphlevel2"/>
        <w:rPr>
          <w:rFonts w:eastAsia="Arial"/>
        </w:rPr>
      </w:pPr>
      <w:r>
        <w:rPr>
          <w:rFonts w:eastAsia="Arial"/>
        </w:rPr>
        <w:t xml:space="preserve">be a careful, rigorous and sustained piece of work demonstrating that a research apprenticeship is </w:t>
      </w:r>
      <w:proofErr w:type="gramStart"/>
      <w:r>
        <w:rPr>
          <w:rFonts w:eastAsia="Arial"/>
        </w:rPr>
        <w:t>complete</w:t>
      </w:r>
      <w:proofErr w:type="gramEnd"/>
      <w:r>
        <w:rPr>
          <w:rFonts w:eastAsia="Arial"/>
        </w:rPr>
        <w:t xml:space="preserve"> and the holder is admitted to the community of scholars in the discipline.</w:t>
      </w:r>
    </w:p>
    <w:p w14:paraId="292C154F" w14:textId="77777777" w:rsidR="00964C26" w:rsidRDefault="009F0C94" w:rsidP="00200048">
      <w:pPr>
        <w:pStyle w:val="MPLParagraphlevel1"/>
      </w:pPr>
      <w:r>
        <w:t xml:space="preserve">To be awarded a pass grade, a </w:t>
      </w:r>
      <w:proofErr w:type="gramStart"/>
      <w:r>
        <w:t>Master Degree</w:t>
      </w:r>
      <w:proofErr w:type="gramEnd"/>
      <w:r>
        <w:t xml:space="preserve"> (Research) thesis or compilation must:</w:t>
      </w:r>
    </w:p>
    <w:p w14:paraId="1B3A4062" w14:textId="77777777" w:rsidR="00964C26" w:rsidRDefault="009F0C94" w:rsidP="00200048">
      <w:pPr>
        <w:pStyle w:val="MPLParagraphlevel2"/>
        <w:rPr>
          <w:rFonts w:eastAsia="Arial"/>
        </w:rPr>
      </w:pPr>
      <w:r>
        <w:rPr>
          <w:rFonts w:eastAsia="Arial"/>
        </w:rPr>
        <w:t>demonstrate advanced learning in research skills and mastery of appropriate techniques, such as the use of archival or primary evidence, analysis of data, judgement of conflicting evidence;</w:t>
      </w:r>
    </w:p>
    <w:p w14:paraId="24C4AA6C" w14:textId="77777777" w:rsidR="00964C26" w:rsidRDefault="009F0C94" w:rsidP="00200048">
      <w:pPr>
        <w:pStyle w:val="MPLParagraphlevel2"/>
        <w:rPr>
          <w:rFonts w:eastAsia="Arial"/>
        </w:rPr>
      </w:pPr>
      <w:r>
        <w:rPr>
          <w:rFonts w:eastAsia="Arial"/>
        </w:rPr>
        <w:t xml:space="preserve">demonstrate specialist knowledge </w:t>
      </w:r>
      <w:proofErr w:type="gramStart"/>
      <w:r>
        <w:rPr>
          <w:rFonts w:eastAsia="Arial"/>
        </w:rPr>
        <w:t>in the area of</w:t>
      </w:r>
      <w:proofErr w:type="gramEnd"/>
      <w:r>
        <w:rPr>
          <w:rFonts w:eastAsia="Arial"/>
        </w:rPr>
        <w:t xml:space="preserve"> their research;</w:t>
      </w:r>
    </w:p>
    <w:p w14:paraId="27CABB44" w14:textId="77777777" w:rsidR="00964C26" w:rsidRDefault="009F0C94" w:rsidP="00200048">
      <w:pPr>
        <w:pStyle w:val="MPLParagraphlevel2"/>
        <w:rPr>
          <w:rFonts w:eastAsia="Arial"/>
        </w:rPr>
      </w:pPr>
      <w:r>
        <w:rPr>
          <w:rFonts w:eastAsia="Arial"/>
        </w:rPr>
        <w:t>demonstrate an understanding of, and commitment to, research ethics and integrity; and</w:t>
      </w:r>
    </w:p>
    <w:p w14:paraId="277EE4DD" w14:textId="77777777" w:rsidR="00964C26" w:rsidRDefault="009F0C94" w:rsidP="00200048">
      <w:pPr>
        <w:pStyle w:val="MPLParagraphlevel2"/>
        <w:rPr>
          <w:rFonts w:eastAsia="Arial"/>
        </w:rPr>
      </w:pPr>
      <w:r>
        <w:rPr>
          <w:rFonts w:eastAsia="Arial"/>
        </w:rPr>
        <w:t xml:space="preserve">be given an average numerical mark of 65% or greater as defined in the table - Grading Scale for </w:t>
      </w:r>
      <w:proofErr w:type="gramStart"/>
      <w:r>
        <w:rPr>
          <w:rFonts w:eastAsia="Arial"/>
        </w:rPr>
        <w:t>Masters Degrees</w:t>
      </w:r>
      <w:proofErr w:type="gramEnd"/>
      <w:r>
        <w:rPr>
          <w:rFonts w:eastAsia="Arial"/>
        </w:rPr>
        <w:t xml:space="preserve"> (Research).</w:t>
      </w:r>
    </w:p>
    <w:p w14:paraId="188CF031" w14:textId="77777777" w:rsidR="00964C26" w:rsidRDefault="009F0C94" w:rsidP="00200048">
      <w:pPr>
        <w:pStyle w:val="MPFSubheading"/>
      </w:pPr>
      <w:r>
        <w:t>Thesis modifications</w:t>
      </w:r>
    </w:p>
    <w:p w14:paraId="71E73B59" w14:textId="77777777" w:rsidR="00964C26" w:rsidRDefault="009F0C94" w:rsidP="00200048">
      <w:pPr>
        <w:pStyle w:val="MPLParagraphlevel1"/>
      </w:pPr>
      <w:r>
        <w:t>No part of the thesis or compilation may be modified once a ‘pass’ result has been awarded.</w:t>
      </w:r>
    </w:p>
    <w:p w14:paraId="4EDCC456" w14:textId="77777777" w:rsidR="00964C26" w:rsidRDefault="009F0C94" w:rsidP="00200048">
      <w:pPr>
        <w:pStyle w:val="MPLParagraphlevel1"/>
      </w:pPr>
      <w:r>
        <w:lastRenderedPageBreak/>
        <w:t xml:space="preserve">If serious errors are discovered </w:t>
      </w:r>
      <w:proofErr w:type="gramStart"/>
      <w:r>
        <w:t>subsequent to</w:t>
      </w:r>
      <w:proofErr w:type="gramEnd"/>
      <w:r>
        <w:t xml:space="preserve"> the award of the degree, the candidate or person discovering the error should advise the Academic Registrar.</w:t>
      </w:r>
    </w:p>
    <w:p w14:paraId="0664EC97" w14:textId="77777777" w:rsidR="00964C26" w:rsidRDefault="009F0C94" w:rsidP="00200048">
      <w:pPr>
        <w:pStyle w:val="MPLParagraphlevel1"/>
      </w:pPr>
      <w:r>
        <w:t>The Pro Vice-Chancellor (Graduate &amp; International Research) in consultation with the relevant dean must determine whether a full retraction, partial redaction or corrigendum is required and advise the University Library accordingly.</w:t>
      </w:r>
    </w:p>
    <w:p w14:paraId="68D50C0F" w14:textId="77777777" w:rsidR="00964C26" w:rsidRDefault="009F0C94" w:rsidP="00200048">
      <w:pPr>
        <w:pStyle w:val="MPFSubheading"/>
      </w:pPr>
      <w:r>
        <w:t>Restricted access to a thesis</w:t>
      </w:r>
    </w:p>
    <w:p w14:paraId="503C85EC" w14:textId="77777777" w:rsidR="00964C26" w:rsidRDefault="009F0C94" w:rsidP="00200048">
      <w:pPr>
        <w:pStyle w:val="MPLParagraphlevel1"/>
      </w:pPr>
      <w:r>
        <w:t>The Pro Vice-Chancellor (Graduate &amp; International Research), in consultation with the relevant dean, may direct that any thesis or work be withheld from access, or placed on restricted access for a specified time.</w:t>
      </w:r>
    </w:p>
    <w:p w14:paraId="3CEA8CD8" w14:textId="77777777" w:rsidR="00964C26" w:rsidRDefault="009F0C94" w:rsidP="00200048">
      <w:pPr>
        <w:pStyle w:val="MPLHeading1"/>
      </w:pPr>
      <w:r>
        <w:t>Procedural principles</w:t>
      </w:r>
    </w:p>
    <w:p w14:paraId="0D2A19B5" w14:textId="77777777" w:rsidR="00964C26" w:rsidRDefault="009F0C94" w:rsidP="00200048">
      <w:pPr>
        <w:pStyle w:val="MPFSubheading"/>
      </w:pPr>
      <w:r>
        <w:t>Approval of outside institutions</w:t>
      </w:r>
    </w:p>
    <w:p w14:paraId="2328E310" w14:textId="77777777" w:rsidR="00964C26" w:rsidRDefault="009F0C94" w:rsidP="00200048">
      <w:pPr>
        <w:pStyle w:val="MPLParagraphlevel1"/>
      </w:pPr>
      <w:r>
        <w:t>The Board approves institutions for the placement of graduate research course candidates on the recommendation of HDRC.</w:t>
      </w:r>
    </w:p>
    <w:p w14:paraId="729B9A07" w14:textId="77777777" w:rsidR="00964C26" w:rsidRDefault="009F0C94" w:rsidP="00200048">
      <w:pPr>
        <w:pStyle w:val="MPLParagraphlevel1"/>
      </w:pPr>
      <w:r>
        <w:t>In evaluating institutions, the following criteria are considered:</w:t>
      </w:r>
    </w:p>
    <w:p w14:paraId="5670E7BE" w14:textId="77777777" w:rsidR="00964C26" w:rsidRDefault="009F0C94" w:rsidP="00200048">
      <w:pPr>
        <w:pStyle w:val="MPLParagraphlevel2"/>
        <w:rPr>
          <w:rFonts w:eastAsia="Arial"/>
        </w:rPr>
      </w:pPr>
      <w:r>
        <w:rPr>
          <w:rFonts w:eastAsia="Arial"/>
        </w:rPr>
        <w:t>the academic environment and standard of research at the institution is of a similar standard to that of an internationally recognised university;</w:t>
      </w:r>
    </w:p>
    <w:p w14:paraId="44773EC3" w14:textId="77777777" w:rsidR="00964C26" w:rsidRDefault="009F0C94" w:rsidP="00200048">
      <w:pPr>
        <w:pStyle w:val="MPLParagraphlevel2"/>
        <w:rPr>
          <w:rFonts w:eastAsia="Arial"/>
        </w:rPr>
      </w:pPr>
      <w:r>
        <w:rPr>
          <w:rFonts w:eastAsia="Arial"/>
        </w:rPr>
        <w:t xml:space="preserve">the staff of the institution </w:t>
      </w:r>
      <w:proofErr w:type="gramStart"/>
      <w:r>
        <w:rPr>
          <w:rFonts w:eastAsia="Arial"/>
        </w:rPr>
        <w:t>are able to</w:t>
      </w:r>
      <w:proofErr w:type="gramEnd"/>
      <w:r>
        <w:rPr>
          <w:rFonts w:eastAsia="Arial"/>
        </w:rPr>
        <w:t xml:space="preserve"> provide supervision in accordance with this policy;</w:t>
      </w:r>
    </w:p>
    <w:p w14:paraId="2DAF9768" w14:textId="77777777" w:rsidR="00964C26" w:rsidRDefault="009F0C94" w:rsidP="00200048">
      <w:pPr>
        <w:pStyle w:val="MPLParagraphlevel2"/>
        <w:rPr>
          <w:rFonts w:eastAsia="Arial"/>
        </w:rPr>
      </w:pPr>
      <w:r>
        <w:rPr>
          <w:rFonts w:eastAsia="Arial"/>
        </w:rPr>
        <w:t xml:space="preserve">the institution is willing to </w:t>
      </w:r>
      <w:proofErr w:type="gramStart"/>
      <w:r>
        <w:rPr>
          <w:rFonts w:eastAsia="Arial"/>
        </w:rPr>
        <w:t>enter into</w:t>
      </w:r>
      <w:proofErr w:type="gramEnd"/>
      <w:r>
        <w:rPr>
          <w:rFonts w:eastAsia="Arial"/>
        </w:rPr>
        <w:t xml:space="preserve"> a memorandum of understanding with the University to </w:t>
      </w:r>
      <w:proofErr w:type="spellStart"/>
      <w:r>
        <w:rPr>
          <w:rFonts w:eastAsia="Arial"/>
        </w:rPr>
        <w:t>formalise</w:t>
      </w:r>
      <w:proofErr w:type="spellEnd"/>
      <w:r>
        <w:rPr>
          <w:rFonts w:eastAsia="Arial"/>
        </w:rPr>
        <w:t xml:space="preserve"> the placement of candidates at the institution; and</w:t>
      </w:r>
    </w:p>
    <w:p w14:paraId="44503F15" w14:textId="77777777" w:rsidR="00964C26" w:rsidRDefault="009F0C94" w:rsidP="00200048">
      <w:pPr>
        <w:pStyle w:val="MPLParagraphlevel2"/>
        <w:rPr>
          <w:rFonts w:eastAsia="Arial"/>
        </w:rPr>
      </w:pPr>
      <w:r>
        <w:rPr>
          <w:rFonts w:eastAsia="Arial"/>
        </w:rPr>
        <w:t>placement of the institution on the approved list will not unduly disadvantage candidates in the selection of examiners for University graduate research theses.</w:t>
      </w:r>
    </w:p>
    <w:p w14:paraId="5590DB59" w14:textId="77777777" w:rsidR="00964C26" w:rsidRDefault="009F0C94" w:rsidP="00200048">
      <w:pPr>
        <w:pStyle w:val="MPLParagraphlevel1"/>
      </w:pPr>
      <w:r>
        <w:t>The Academic Secretary maintains and publishes a list of approved outside institutions.</w:t>
      </w:r>
    </w:p>
    <w:p w14:paraId="313BD38E" w14:textId="77777777" w:rsidR="00964C26" w:rsidRDefault="009F0C94" w:rsidP="00200048">
      <w:pPr>
        <w:pStyle w:val="MPFSubheading"/>
      </w:pPr>
      <w:r>
        <w:t>Supervisor availability</w:t>
      </w:r>
    </w:p>
    <w:p w14:paraId="5F2FA97A" w14:textId="77777777" w:rsidR="00964C26" w:rsidRDefault="009F0C94" w:rsidP="00200048">
      <w:pPr>
        <w:pStyle w:val="MPLParagraphlevel1"/>
      </w:pPr>
      <w:r>
        <w:t>If it is expected that the principal supervisor will not be available to provide supervision for the normal duration of the course, suitable arrangements for ongoing supervision must be agreed before the candidate commences.</w:t>
      </w:r>
    </w:p>
    <w:p w14:paraId="4285A4AE" w14:textId="77777777" w:rsidR="00964C26" w:rsidRDefault="009F0C94" w:rsidP="00200048">
      <w:pPr>
        <w:pStyle w:val="MPLParagraphlevel1"/>
      </w:pPr>
      <w:r>
        <w:t>If a principal supervisor ceases their employment or appointment before the candidate completes their course the dean must appoint a new principal supervisor, in consultation with the candidate. For avoidance of doubt, consultation does not mean the candidate’s approval is required.</w:t>
      </w:r>
    </w:p>
    <w:p w14:paraId="1C0B8E9D" w14:textId="77777777" w:rsidR="00964C26" w:rsidRDefault="009F0C94" w:rsidP="00200048">
      <w:pPr>
        <w:pStyle w:val="MPLParagraphlevel1"/>
      </w:pPr>
      <w:r>
        <w:t>If the principal supervisor is unavailable for two or more consecutive months during the candidature period, an interim principal supervisor must be appointed in consultation with the candidate. For avoidance of doubt, consultation does not mean the candidate’s approval is required.</w:t>
      </w:r>
    </w:p>
    <w:p w14:paraId="026AE9FE" w14:textId="77777777" w:rsidR="00964C26" w:rsidRDefault="009F0C94" w:rsidP="00200048">
      <w:pPr>
        <w:pStyle w:val="MPFSubheading"/>
      </w:pPr>
      <w:r>
        <w:lastRenderedPageBreak/>
        <w:t>Role of the supervisor</w:t>
      </w:r>
    </w:p>
    <w:p w14:paraId="5A9F574A" w14:textId="77777777" w:rsidR="00964C26" w:rsidRDefault="009F0C94" w:rsidP="00200048">
      <w:pPr>
        <w:pStyle w:val="MPLParagraphlevel1"/>
      </w:pPr>
      <w:r>
        <w:t>Supervisors must ensure the candidate is aware of any restrictions on publication rights due to confidentiality or other intellectual property protection requirements prior to commencement.</w:t>
      </w:r>
    </w:p>
    <w:p w14:paraId="2DE49D8F" w14:textId="77777777" w:rsidR="00964C26" w:rsidRDefault="009F0C94" w:rsidP="00200048">
      <w:pPr>
        <w:pStyle w:val="MPLParagraphlevel1"/>
      </w:pPr>
      <w:r>
        <w:t>At commencement, supervisors must:</w:t>
      </w:r>
    </w:p>
    <w:p w14:paraId="367D421A" w14:textId="77777777" w:rsidR="00964C26" w:rsidRDefault="009F0C94" w:rsidP="00200048">
      <w:pPr>
        <w:pStyle w:val="MPLParagraphlevel2"/>
        <w:rPr>
          <w:rFonts w:eastAsia="Arial"/>
        </w:rPr>
      </w:pPr>
      <w:r>
        <w:rPr>
          <w:rFonts w:eastAsia="Arial"/>
        </w:rPr>
        <w:t>alert the candidate to commonly encountered tasks, processes and the standards expected of graduates in their field of research;</w:t>
      </w:r>
    </w:p>
    <w:p w14:paraId="7E5DC066" w14:textId="77777777" w:rsidR="00964C26" w:rsidRDefault="009F0C94" w:rsidP="00200048">
      <w:pPr>
        <w:pStyle w:val="MPLParagraphlevel2"/>
        <w:rPr>
          <w:rFonts w:eastAsia="Arial"/>
        </w:rPr>
      </w:pPr>
      <w:r>
        <w:rPr>
          <w:rFonts w:eastAsia="Arial"/>
        </w:rPr>
        <w:t>assist the candidate to formulate a framework for the research and time estimates for its completion that will allow completion within the expected course duration; and</w:t>
      </w:r>
    </w:p>
    <w:p w14:paraId="6DAB0AE7" w14:textId="77777777" w:rsidR="00964C26" w:rsidRDefault="009F0C94" w:rsidP="00200048">
      <w:pPr>
        <w:pStyle w:val="MPLParagraphlevel2"/>
        <w:rPr>
          <w:rFonts w:eastAsia="Arial"/>
        </w:rPr>
      </w:pPr>
      <w:r>
        <w:rPr>
          <w:rFonts w:eastAsia="Arial"/>
        </w:rPr>
        <w:t>ensure satisfactory arrangements are made regarding the ethical conduct of the research, intellectual property (including patents) and authorship of any publications arising from the candidate’s work. These arrangements must be recorded and signed by the candidate and the principal supervisor and placed on the candidate’s student record.</w:t>
      </w:r>
    </w:p>
    <w:p w14:paraId="55CE37E1" w14:textId="77777777" w:rsidR="00964C26" w:rsidRDefault="009F0C94" w:rsidP="00200048">
      <w:pPr>
        <w:pStyle w:val="MPLParagraphlevel1"/>
      </w:pPr>
      <w:r>
        <w:t>Early in the first year of their candidature, supervisors must assess the candidate’s written work. If improvements in their writing skills are required, assist the candidate and, if appropriate, refer them to relevant writing skills training programs.</w:t>
      </w:r>
    </w:p>
    <w:p w14:paraId="6342853C" w14:textId="77777777" w:rsidR="00964C26" w:rsidRDefault="009F0C94" w:rsidP="00200048">
      <w:pPr>
        <w:pStyle w:val="MPLParagraphlevel1"/>
      </w:pPr>
      <w:r>
        <w:t>Supervisors must:</w:t>
      </w:r>
    </w:p>
    <w:p w14:paraId="09FE281D" w14:textId="77777777" w:rsidR="00964C26" w:rsidRDefault="009F0C94" w:rsidP="00200048">
      <w:pPr>
        <w:pStyle w:val="MPLParagraphlevel2"/>
        <w:rPr>
          <w:rFonts w:eastAsia="Arial"/>
        </w:rPr>
      </w:pPr>
      <w:r>
        <w:rPr>
          <w:rFonts w:eastAsia="Arial"/>
        </w:rPr>
        <w:t>agree a schedule of at least monthly meetings with the candidate;</w:t>
      </w:r>
    </w:p>
    <w:p w14:paraId="7655A7CA" w14:textId="77777777" w:rsidR="00964C26" w:rsidRDefault="009F0C94" w:rsidP="00200048">
      <w:pPr>
        <w:pStyle w:val="MPLParagraphlevel2"/>
        <w:rPr>
          <w:rFonts w:eastAsia="Arial"/>
        </w:rPr>
      </w:pPr>
      <w:r>
        <w:rPr>
          <w:rFonts w:eastAsia="Arial"/>
        </w:rPr>
        <w:t>meet with the candidate as agreed to exchange ideas, check progress and assist the candidate to develop the graduate attributes for their qualification;</w:t>
      </w:r>
    </w:p>
    <w:p w14:paraId="4F12E69E" w14:textId="77777777" w:rsidR="00964C26" w:rsidRDefault="009F0C94" w:rsidP="00200048">
      <w:pPr>
        <w:pStyle w:val="MPLParagraphlevel2"/>
        <w:rPr>
          <w:rFonts w:eastAsia="Arial"/>
        </w:rPr>
      </w:pPr>
      <w:r>
        <w:rPr>
          <w:rFonts w:eastAsia="Arial"/>
        </w:rPr>
        <w:t>conduct a major review of the candidate’s academic progress at least six monthly, being mindful of the requirements of the Academic Progress Review Policy (Graduate Research)</w:t>
      </w:r>
    </w:p>
    <w:p w14:paraId="23262D84" w14:textId="77777777" w:rsidR="00964C26" w:rsidRDefault="009F0C94" w:rsidP="00200048">
      <w:pPr>
        <w:pStyle w:val="MPLParagraphlevel2"/>
        <w:rPr>
          <w:rFonts w:eastAsia="Arial"/>
        </w:rPr>
      </w:pPr>
      <w:r>
        <w:rPr>
          <w:rFonts w:eastAsia="Arial"/>
        </w:rPr>
        <w:t>advise the candidate on the format and preparation of their thesis;</w:t>
      </w:r>
    </w:p>
    <w:p w14:paraId="0AACECEF" w14:textId="77777777" w:rsidR="00964C26" w:rsidRDefault="009F0C94" w:rsidP="00200048">
      <w:pPr>
        <w:pStyle w:val="MPLParagraphlevel2"/>
        <w:rPr>
          <w:rFonts w:eastAsia="Arial"/>
        </w:rPr>
      </w:pPr>
      <w:r>
        <w:rPr>
          <w:rFonts w:eastAsia="Arial"/>
        </w:rPr>
        <w:t>within reason, read any written work thoroughly, in advance of meetings, and provide regular feedback;</w:t>
      </w:r>
    </w:p>
    <w:p w14:paraId="270A4758" w14:textId="77777777" w:rsidR="00964C26" w:rsidRDefault="009F0C94" w:rsidP="00200048">
      <w:pPr>
        <w:pStyle w:val="MPLParagraphlevel2"/>
        <w:rPr>
          <w:rFonts w:eastAsia="Arial"/>
        </w:rPr>
      </w:pPr>
      <w:r>
        <w:rPr>
          <w:rFonts w:eastAsia="Arial"/>
        </w:rPr>
        <w:t>include the candidate in the academic life of the department;</w:t>
      </w:r>
    </w:p>
    <w:p w14:paraId="505FCF7D" w14:textId="77777777" w:rsidR="00964C26" w:rsidRDefault="009F0C94" w:rsidP="00200048">
      <w:pPr>
        <w:pStyle w:val="MPLParagraphlevel2"/>
        <w:rPr>
          <w:rFonts w:eastAsia="Arial"/>
        </w:rPr>
      </w:pPr>
      <w:r>
        <w:rPr>
          <w:rFonts w:eastAsia="Arial"/>
        </w:rPr>
        <w:t>encourage the candidate to publish their work;</w:t>
      </w:r>
    </w:p>
    <w:p w14:paraId="06A7C40F" w14:textId="77777777" w:rsidR="00964C26" w:rsidRDefault="009F0C94" w:rsidP="00200048">
      <w:pPr>
        <w:pStyle w:val="MPLParagraphlevel2"/>
        <w:rPr>
          <w:rFonts w:eastAsia="Arial"/>
        </w:rPr>
      </w:pPr>
      <w:r>
        <w:rPr>
          <w:rFonts w:eastAsia="Arial"/>
        </w:rPr>
        <w:t>review restrictions on publication rights due to confidentiality or other intellectual property protection requirements as appropriate; and</w:t>
      </w:r>
    </w:p>
    <w:p w14:paraId="6D191829" w14:textId="77777777" w:rsidR="00964C26" w:rsidRDefault="009F0C94" w:rsidP="00200048">
      <w:pPr>
        <w:pStyle w:val="MPLParagraphlevel2"/>
        <w:rPr>
          <w:rFonts w:eastAsia="Arial"/>
        </w:rPr>
      </w:pPr>
      <w:r>
        <w:rPr>
          <w:rFonts w:eastAsia="Arial"/>
        </w:rPr>
        <w:t>provide adequate guidance or mentorship on responsible research conduct to candidates under their supervision.</w:t>
      </w:r>
    </w:p>
    <w:p w14:paraId="76C0DD3E" w14:textId="77777777" w:rsidR="00964C26" w:rsidRDefault="009F0C94" w:rsidP="00200048">
      <w:pPr>
        <w:pStyle w:val="MPFSubheading"/>
      </w:pPr>
      <w:r>
        <w:t>Confirmation of candidature</w:t>
      </w:r>
    </w:p>
    <w:p w14:paraId="5FF49992" w14:textId="77777777" w:rsidR="00964C26" w:rsidRDefault="009F0C94" w:rsidP="00200048">
      <w:pPr>
        <w:pStyle w:val="MPLParagraphlevel1"/>
      </w:pPr>
      <w:r>
        <w:t>The chair of the advisory committee must convene a confirmation meeting between the candidate and their advisory committee prior to the expiration of the candidate’s probationary period.</w:t>
      </w:r>
    </w:p>
    <w:p w14:paraId="45B44E3B" w14:textId="77777777" w:rsidR="00964C26" w:rsidRDefault="009F0C94" w:rsidP="00200048">
      <w:pPr>
        <w:pStyle w:val="MPLParagraphlevel1"/>
      </w:pPr>
      <w:r>
        <w:t>The head of department may nominate an additional person, such as a graduate research program director or coordinator, to attend confirmation meetings to ensure consistency in the evaluation of candidates’ academic progress.</w:t>
      </w:r>
    </w:p>
    <w:p w14:paraId="3129FF42" w14:textId="77777777" w:rsidR="00964C26" w:rsidRDefault="009F0C94" w:rsidP="00200048">
      <w:pPr>
        <w:pStyle w:val="MPLParagraphlevel1"/>
      </w:pPr>
      <w:r>
        <w:t>The principal supervisor must advise the candidate on the membership of the committee and who will be in attendance.</w:t>
      </w:r>
    </w:p>
    <w:p w14:paraId="333247F1" w14:textId="77777777" w:rsidR="00964C26" w:rsidRDefault="009F0C94" w:rsidP="00200048">
      <w:pPr>
        <w:pStyle w:val="MPLParagraphlevel1"/>
      </w:pPr>
      <w:r>
        <w:lastRenderedPageBreak/>
        <w:t>The candidate must:</w:t>
      </w:r>
    </w:p>
    <w:p w14:paraId="2AFEAE89" w14:textId="77777777" w:rsidR="00964C26" w:rsidRDefault="009F0C94" w:rsidP="00200048">
      <w:pPr>
        <w:pStyle w:val="MPLParagraphlevel2"/>
        <w:rPr>
          <w:rFonts w:eastAsia="Arial"/>
        </w:rPr>
      </w:pPr>
      <w:r>
        <w:rPr>
          <w:rFonts w:eastAsia="Arial"/>
        </w:rPr>
        <w:t>provide a written report in accordance with departmental requirements;</w:t>
      </w:r>
    </w:p>
    <w:p w14:paraId="077A8A46" w14:textId="77777777" w:rsidR="00964C26" w:rsidRDefault="009F0C94" w:rsidP="00200048">
      <w:pPr>
        <w:pStyle w:val="MPLParagraphlevel2"/>
        <w:rPr>
          <w:rFonts w:eastAsia="Arial"/>
        </w:rPr>
      </w:pPr>
      <w:r>
        <w:rPr>
          <w:rFonts w:eastAsia="Arial"/>
        </w:rPr>
        <w:t>make an oral presentation on the project;</w:t>
      </w:r>
    </w:p>
    <w:p w14:paraId="0317645E" w14:textId="77777777" w:rsidR="00964C26" w:rsidRDefault="009F0C94" w:rsidP="00200048">
      <w:pPr>
        <w:pStyle w:val="MPLParagraphlevel2"/>
        <w:rPr>
          <w:rFonts w:eastAsia="Arial"/>
        </w:rPr>
      </w:pPr>
      <w:r>
        <w:rPr>
          <w:rFonts w:eastAsia="Arial"/>
        </w:rPr>
        <w:t>verbally defend their research project; and</w:t>
      </w:r>
    </w:p>
    <w:p w14:paraId="337221D2" w14:textId="77777777" w:rsidR="00964C26" w:rsidRDefault="009F0C94" w:rsidP="00200048">
      <w:pPr>
        <w:pStyle w:val="MPLParagraphlevel2"/>
        <w:rPr>
          <w:rFonts w:eastAsia="Arial"/>
        </w:rPr>
      </w:pPr>
      <w:r>
        <w:rPr>
          <w:rFonts w:eastAsia="Arial"/>
        </w:rPr>
        <w:t>provide evidence of successful completion of compulsory research integrity training;</w:t>
      </w:r>
    </w:p>
    <w:p w14:paraId="3C884D8F" w14:textId="77777777" w:rsidR="00964C26" w:rsidRDefault="009F0C94" w:rsidP="00200048">
      <w:pPr>
        <w:pStyle w:val="MPLParagraphlevel2"/>
        <w:rPr>
          <w:rFonts w:eastAsia="Arial"/>
        </w:rPr>
      </w:pPr>
      <w:r>
        <w:rPr>
          <w:rFonts w:eastAsia="Arial"/>
        </w:rPr>
        <w:t>obtain and provide an originality report for a substantial piece of writing (such as thesis chapter, section of chapter or written progress report); and</w:t>
      </w:r>
    </w:p>
    <w:p w14:paraId="54143061" w14:textId="77777777" w:rsidR="00964C26" w:rsidRDefault="009F0C94" w:rsidP="00200048">
      <w:pPr>
        <w:pStyle w:val="MPLParagraphlevel2"/>
        <w:rPr>
          <w:rFonts w:eastAsia="Arial"/>
        </w:rPr>
      </w:pPr>
      <w:r>
        <w:rPr>
          <w:rFonts w:eastAsia="Arial"/>
        </w:rPr>
        <w:t>complete any other confirmation and progress requirements that were specified on enrolment and at subsequent meetings with their advisory committee and supervisors.</w:t>
      </w:r>
    </w:p>
    <w:p w14:paraId="2590D361" w14:textId="77777777" w:rsidR="00964C26" w:rsidRDefault="009F0C94" w:rsidP="00200048">
      <w:pPr>
        <w:pStyle w:val="MPLParagraphlevel1"/>
      </w:pPr>
      <w:r>
        <w:t>The advisory committee recommends one of three outcomes; that the candidate be:</w:t>
      </w:r>
    </w:p>
    <w:p w14:paraId="4009F76C" w14:textId="77777777" w:rsidR="00964C26" w:rsidRDefault="009F0C94" w:rsidP="00200048">
      <w:pPr>
        <w:pStyle w:val="MPLParagraphlevel2"/>
        <w:rPr>
          <w:rFonts w:eastAsia="Arial"/>
        </w:rPr>
      </w:pPr>
      <w:r>
        <w:rPr>
          <w:rFonts w:eastAsia="Arial"/>
        </w:rPr>
        <w:t>admitted to confirmed candidature;</w:t>
      </w:r>
    </w:p>
    <w:p w14:paraId="5965B323" w14:textId="77777777" w:rsidR="00964C26" w:rsidRDefault="009F0C94" w:rsidP="00200048">
      <w:pPr>
        <w:pStyle w:val="MPLParagraphlevel2"/>
        <w:rPr>
          <w:rFonts w:eastAsia="Arial"/>
        </w:rPr>
      </w:pPr>
      <w:r>
        <w:rPr>
          <w:rFonts w:eastAsia="Arial"/>
        </w:rPr>
        <w:t>granted an extension to probationary candidature, by which time the candidate must achieve the confirmation requirements; or</w:t>
      </w:r>
    </w:p>
    <w:p w14:paraId="2D963BCE" w14:textId="77777777" w:rsidR="00964C26" w:rsidRDefault="009F0C94" w:rsidP="00200048">
      <w:pPr>
        <w:pStyle w:val="MPLParagraphlevel2"/>
        <w:rPr>
          <w:rFonts w:eastAsia="Arial"/>
        </w:rPr>
      </w:pPr>
      <w:r>
        <w:rPr>
          <w:rFonts w:eastAsia="Arial"/>
        </w:rPr>
        <w:t>advised that their academic progress is unsatisfactory.</w:t>
      </w:r>
    </w:p>
    <w:p w14:paraId="77810B80" w14:textId="77777777" w:rsidR="00964C26" w:rsidRDefault="009F0C94" w:rsidP="00200048">
      <w:pPr>
        <w:pStyle w:val="MPLParagraphlevel1"/>
      </w:pPr>
      <w:r>
        <w:t>If the outcome is unsatisfactory academic progress the candidate’s advisory committee must follow the requirements of the Academic Progress Review Policy (Graduate Research).</w:t>
      </w:r>
    </w:p>
    <w:p w14:paraId="2CA31A26" w14:textId="77777777" w:rsidR="00964C26" w:rsidRDefault="009F0C94" w:rsidP="00200048">
      <w:pPr>
        <w:pStyle w:val="MPFSubheading"/>
      </w:pPr>
      <w:r>
        <w:t>Academic progress review requirements</w:t>
      </w:r>
    </w:p>
    <w:p w14:paraId="082EE5F8" w14:textId="77777777" w:rsidR="00964C26" w:rsidRDefault="009F0C94" w:rsidP="00200048">
      <w:pPr>
        <w:pStyle w:val="MPLParagraphlevel1"/>
      </w:pPr>
      <w:r>
        <w:t>Candidates’ progress must be regularly monitored in accordance with the Academic Progress Review Policy (Graduate Research).</w:t>
      </w:r>
    </w:p>
    <w:p w14:paraId="0A391D7C" w14:textId="77777777" w:rsidR="00964C26" w:rsidRDefault="009F0C94" w:rsidP="00200048">
      <w:pPr>
        <w:pStyle w:val="MPFSubheading"/>
      </w:pPr>
      <w:r>
        <w:t>Changes to candidature</w:t>
      </w:r>
    </w:p>
    <w:p w14:paraId="4C2CCEFA" w14:textId="77777777" w:rsidR="00964C26" w:rsidRDefault="009F0C94" w:rsidP="00200048">
      <w:pPr>
        <w:pStyle w:val="MPLParagraphlevel1"/>
      </w:pPr>
      <w:r>
        <w:t xml:space="preserve">Changes to a candidate’s enrolment must be approved by their supervisors </w:t>
      </w:r>
      <w:proofErr w:type="gramStart"/>
      <w:r>
        <w:t>and,</w:t>
      </w:r>
      <w:proofErr w:type="gramEnd"/>
      <w:r>
        <w:t xml:space="preserve"> as required, the head of the department.</w:t>
      </w:r>
    </w:p>
    <w:p w14:paraId="6E0D17BF" w14:textId="77777777" w:rsidR="00964C26" w:rsidRDefault="009F0C94" w:rsidP="00200048">
      <w:pPr>
        <w:pStyle w:val="MPLParagraphlevel1"/>
      </w:pPr>
      <w:r>
        <w:t>Where a change of enrolment involves another department, the head of the other department and the dean of the respective faculties must also approve the change.</w:t>
      </w:r>
    </w:p>
    <w:p w14:paraId="0754ECCE" w14:textId="77777777" w:rsidR="00964C26" w:rsidRDefault="009F0C94" w:rsidP="00200048">
      <w:pPr>
        <w:pStyle w:val="MPLParagraphlevel1"/>
      </w:pPr>
      <w:r>
        <w:t>Supervisors and heads of departments must take the following factors into account when considering a request to vary enrolment:</w:t>
      </w:r>
    </w:p>
    <w:p w14:paraId="600D5C66" w14:textId="77777777" w:rsidR="00964C26" w:rsidRDefault="009F0C94" w:rsidP="00200048">
      <w:pPr>
        <w:pStyle w:val="MPLParagraphlevel2"/>
        <w:rPr>
          <w:rFonts w:eastAsia="Arial"/>
        </w:rPr>
      </w:pPr>
      <w:r>
        <w:rPr>
          <w:rFonts w:eastAsia="Arial"/>
        </w:rPr>
        <w:t>the candidate has made, or has potential to make, satisfactory progress;</w:t>
      </w:r>
    </w:p>
    <w:p w14:paraId="7B9E8C6B" w14:textId="77777777" w:rsidR="00964C26" w:rsidRDefault="00200048" w:rsidP="00200048">
      <w:pPr>
        <w:pStyle w:val="MPLParagraphlevel2"/>
        <w:rPr>
          <w:rFonts w:eastAsia="Arial"/>
        </w:rPr>
      </w:pPr>
      <w:r>
        <w:rPr>
          <w:rFonts w:eastAsia="Arial"/>
        </w:rPr>
        <w:t>s</w:t>
      </w:r>
      <w:r w:rsidR="009F0C94">
        <w:rPr>
          <w:rFonts w:eastAsia="Arial"/>
        </w:rPr>
        <w:t>ufficient time is available to complete the research project within the remaining enrolment entitlement;</w:t>
      </w:r>
    </w:p>
    <w:p w14:paraId="0C7DDD22" w14:textId="77777777" w:rsidR="00964C26" w:rsidRDefault="009F0C94" w:rsidP="00200048">
      <w:pPr>
        <w:pStyle w:val="MPLParagraphlevel2"/>
        <w:rPr>
          <w:rFonts w:eastAsia="Arial"/>
        </w:rPr>
      </w:pPr>
      <w:r>
        <w:rPr>
          <w:rFonts w:eastAsia="Arial"/>
        </w:rPr>
        <w:t>the requested change complies with all relevant legislation;</w:t>
      </w:r>
    </w:p>
    <w:p w14:paraId="5399295B" w14:textId="77777777" w:rsidR="00964C26" w:rsidRDefault="009F0C94" w:rsidP="00200048">
      <w:pPr>
        <w:pStyle w:val="MPLParagraphlevel2"/>
        <w:rPr>
          <w:rFonts w:eastAsia="Arial"/>
        </w:rPr>
      </w:pPr>
      <w:r>
        <w:rPr>
          <w:rFonts w:eastAsia="Arial"/>
        </w:rPr>
        <w:t xml:space="preserve">appropriate facilities and resources are available for the remainder of the candidature as described in the </w:t>
      </w:r>
      <w:hyperlink r:id="rId36" w:history="1">
        <w:r>
          <w:rPr>
            <w:rFonts w:eastAsia="Arial"/>
            <w:color w:val="0000FF"/>
            <w:u w:val="single"/>
          </w:rPr>
          <w:t>Principles for Infrastructure Support for Graduate Research Students</w:t>
        </w:r>
      </w:hyperlink>
      <w:r>
        <w:rPr>
          <w:rFonts w:eastAsia="Arial"/>
        </w:rPr>
        <w:t>; and</w:t>
      </w:r>
    </w:p>
    <w:p w14:paraId="35D47741" w14:textId="77777777" w:rsidR="00964C26" w:rsidRDefault="009F0C94" w:rsidP="00200048">
      <w:pPr>
        <w:pStyle w:val="MPLParagraphlevel2"/>
        <w:rPr>
          <w:rFonts w:eastAsia="Arial"/>
        </w:rPr>
      </w:pPr>
      <w:r>
        <w:rPr>
          <w:rFonts w:eastAsia="Arial"/>
        </w:rPr>
        <w:t>appropriate supervision can be provided for the remainder of the candidature.</w:t>
      </w:r>
    </w:p>
    <w:p w14:paraId="32EFC15F" w14:textId="77777777" w:rsidR="00964C26" w:rsidRDefault="009F0C94" w:rsidP="00200048">
      <w:pPr>
        <w:pStyle w:val="MPFSubheading"/>
      </w:pPr>
      <w:r>
        <w:t xml:space="preserve">Leave entitlements and </w:t>
      </w:r>
      <w:proofErr w:type="gramStart"/>
      <w:r>
        <w:t>candidature</w:t>
      </w:r>
      <w:proofErr w:type="gramEnd"/>
    </w:p>
    <w:p w14:paraId="32DA1B4D" w14:textId="77777777" w:rsidR="00964C26" w:rsidRDefault="009F0C94" w:rsidP="00200048">
      <w:pPr>
        <w:pStyle w:val="MPLParagraphlevel1"/>
      </w:pPr>
      <w:r>
        <w:t xml:space="preserve">Supervisors must assess and approve, or not </w:t>
      </w:r>
      <w:r w:rsidRPr="00200048">
        <w:t>approve, applications for leave in accordance with the Enrolment and Timetabling Policy</w:t>
      </w:r>
      <w:r w:rsidR="00200048">
        <w:t xml:space="preserve"> (</w:t>
      </w:r>
      <w:hyperlink r:id="rId37" w:history="1">
        <w:r w:rsidR="00200048" w:rsidRPr="00200048">
          <w:rPr>
            <w:rStyle w:val="Hyperlink"/>
          </w:rPr>
          <w:t>MPF1294</w:t>
        </w:r>
      </w:hyperlink>
      <w:r w:rsidR="00200048">
        <w:t>)</w:t>
      </w:r>
      <w:r w:rsidRPr="00200048">
        <w:t>.</w:t>
      </w:r>
    </w:p>
    <w:p w14:paraId="74561EE1" w14:textId="77777777" w:rsidR="00964C26" w:rsidRDefault="009F0C94" w:rsidP="0030693C">
      <w:pPr>
        <w:pStyle w:val="MPLParagraphlevel1"/>
      </w:pPr>
      <w:r>
        <w:t xml:space="preserve"> For all categories of approved leave other than recreational leave:</w:t>
      </w:r>
    </w:p>
    <w:p w14:paraId="26EB89A3" w14:textId="77777777" w:rsidR="00964C26" w:rsidRDefault="009F0C94" w:rsidP="0030693C">
      <w:pPr>
        <w:pStyle w:val="MPLParagraphlevel2"/>
        <w:rPr>
          <w:rFonts w:eastAsia="Arial"/>
        </w:rPr>
      </w:pPr>
      <w:r>
        <w:rPr>
          <w:rFonts w:eastAsia="Arial"/>
        </w:rPr>
        <w:lastRenderedPageBreak/>
        <w:t>enrolment in the course is suspended for the duration of the leave;</w:t>
      </w:r>
    </w:p>
    <w:p w14:paraId="350BFB45" w14:textId="77777777" w:rsidR="00964C26" w:rsidRDefault="009F0C94" w:rsidP="0030693C">
      <w:pPr>
        <w:pStyle w:val="MPLParagraphlevel2"/>
        <w:rPr>
          <w:rFonts w:eastAsia="Arial"/>
        </w:rPr>
      </w:pPr>
      <w:r>
        <w:rPr>
          <w:rFonts w:eastAsia="Arial"/>
        </w:rPr>
        <w:t>time spent on leave is not included in the enrolment entitlement;</w:t>
      </w:r>
    </w:p>
    <w:p w14:paraId="27B363BB" w14:textId="77777777" w:rsidR="00964C26" w:rsidRDefault="009F0C94" w:rsidP="0030693C">
      <w:pPr>
        <w:pStyle w:val="MPLParagraphlevel2"/>
        <w:rPr>
          <w:rFonts w:eastAsia="Arial"/>
        </w:rPr>
      </w:pPr>
      <w:r>
        <w:rPr>
          <w:rFonts w:eastAsia="Arial"/>
        </w:rPr>
        <w:t>candidates are provided with access to University services such as a student email account, library and student advising system;</w:t>
      </w:r>
    </w:p>
    <w:p w14:paraId="2805B25C" w14:textId="77777777" w:rsidR="00964C26" w:rsidRDefault="009F0C94" w:rsidP="0030693C">
      <w:pPr>
        <w:pStyle w:val="MPLParagraphlevel2"/>
        <w:rPr>
          <w:rFonts w:eastAsia="Arial"/>
        </w:rPr>
      </w:pPr>
      <w:r>
        <w:rPr>
          <w:rFonts w:eastAsia="Arial"/>
        </w:rPr>
        <w:t>candidates are not provided with access to University facilities; and</w:t>
      </w:r>
    </w:p>
    <w:p w14:paraId="7D983A73" w14:textId="77777777" w:rsidR="00964C26" w:rsidRDefault="009F0C94" w:rsidP="0030693C">
      <w:pPr>
        <w:pStyle w:val="MPLParagraphlevel2"/>
        <w:rPr>
          <w:rFonts w:eastAsia="Arial"/>
        </w:rPr>
      </w:pPr>
      <w:r>
        <w:rPr>
          <w:rFonts w:eastAsia="Arial"/>
        </w:rPr>
        <w:t>progression milestone dates are adjusted to reflect periods of leave.</w:t>
      </w:r>
    </w:p>
    <w:p w14:paraId="54075579" w14:textId="77777777" w:rsidR="00964C26" w:rsidRDefault="009F0C94" w:rsidP="0030693C">
      <w:pPr>
        <w:pStyle w:val="MPLParagraphlevel1"/>
      </w:pPr>
      <w:r>
        <w:t>No adjustments to candidature entitlements or milestone dates are made for recreational leave, whether the leave is taken or not.</w:t>
      </w:r>
    </w:p>
    <w:p w14:paraId="3866DB00" w14:textId="77777777" w:rsidR="00964C26" w:rsidRDefault="009F0C94" w:rsidP="0030693C">
      <w:pPr>
        <w:pStyle w:val="MPLParagraphlevel1"/>
      </w:pPr>
      <w:r>
        <w:t>Time spent on unapproved leave is included in the maximum enrolment entitlement. The expected work submission date is not adjusted for unapproved leave.</w:t>
      </w:r>
    </w:p>
    <w:p w14:paraId="5CEC52E2" w14:textId="77777777" w:rsidR="00964C26" w:rsidRDefault="009F0C94" w:rsidP="0030693C">
      <w:pPr>
        <w:pStyle w:val="MPLParagraphlevel1"/>
      </w:pPr>
      <w:r>
        <w:t>Time spent on a suspension of enrolment as an outcome of a finding of general or academic misconduct is included in the maximum enrolment entitlement. The expected work submission date is not adjusted for unapproved leave.</w:t>
      </w:r>
    </w:p>
    <w:p w14:paraId="713497AB" w14:textId="77777777" w:rsidR="00964C26" w:rsidRDefault="009F0C94" w:rsidP="0030693C">
      <w:pPr>
        <w:pStyle w:val="MPFSubheading"/>
      </w:pPr>
      <w:r>
        <w:t xml:space="preserve">Lapsed candidature applications and </w:t>
      </w:r>
      <w:proofErr w:type="gramStart"/>
      <w:r>
        <w:t>approvals</w:t>
      </w:r>
      <w:proofErr w:type="gramEnd"/>
    </w:p>
    <w:p w14:paraId="09AB66B9" w14:textId="77777777" w:rsidR="00964C26" w:rsidRDefault="009F0C94" w:rsidP="0030693C">
      <w:pPr>
        <w:pStyle w:val="MPLParagraphlevel1"/>
      </w:pPr>
      <w:r>
        <w:t>Applications to lapse are only available to candidates who have been confirmed on or before 31 December 2017.</w:t>
      </w:r>
    </w:p>
    <w:p w14:paraId="0F907464" w14:textId="77777777" w:rsidR="00964C26" w:rsidRDefault="009F0C94" w:rsidP="0030693C">
      <w:pPr>
        <w:pStyle w:val="MPLParagraphlevel1"/>
      </w:pPr>
      <w:r>
        <w:t>Applications to lapse must be approved by the dean.</w:t>
      </w:r>
    </w:p>
    <w:p w14:paraId="33CDE81C" w14:textId="77777777" w:rsidR="00964C26" w:rsidRDefault="009F0C94" w:rsidP="0030693C">
      <w:pPr>
        <w:pStyle w:val="MPLParagraphlevel1"/>
      </w:pPr>
      <w:r>
        <w:t>Approval to lapse may only be granted if, in the opinion of the candidate’s advisory committee the:</w:t>
      </w:r>
    </w:p>
    <w:p w14:paraId="7D4E5475" w14:textId="77777777" w:rsidR="00964C26" w:rsidRDefault="009F0C94" w:rsidP="0030693C">
      <w:pPr>
        <w:pStyle w:val="MPLParagraphlevel2"/>
        <w:rPr>
          <w:rFonts w:eastAsia="Arial"/>
        </w:rPr>
      </w:pPr>
      <w:r>
        <w:rPr>
          <w:rFonts w:eastAsia="Arial"/>
        </w:rPr>
        <w:t>candidate has demonstrated sufficient understanding of the research topic to make completion likely;</w:t>
      </w:r>
    </w:p>
    <w:p w14:paraId="410B07FC" w14:textId="77777777" w:rsidR="00964C26" w:rsidRDefault="009F0C94" w:rsidP="0030693C">
      <w:pPr>
        <w:pStyle w:val="MPLParagraphlevel2"/>
        <w:rPr>
          <w:rFonts w:eastAsia="Arial"/>
        </w:rPr>
      </w:pPr>
      <w:r>
        <w:rPr>
          <w:rFonts w:eastAsia="Arial"/>
        </w:rPr>
        <w:t>candidate has provided a credible plan for completion; and</w:t>
      </w:r>
    </w:p>
    <w:p w14:paraId="5F3E3592" w14:textId="77777777" w:rsidR="00964C26" w:rsidRDefault="009F0C94" w:rsidP="0030693C">
      <w:pPr>
        <w:pStyle w:val="MPLParagraphlevel2"/>
        <w:rPr>
          <w:rFonts w:eastAsia="Arial"/>
        </w:rPr>
      </w:pPr>
      <w:r>
        <w:rPr>
          <w:rFonts w:eastAsia="Arial"/>
        </w:rPr>
        <w:t>candidate’s personal circumstances are such that completion is likely.</w:t>
      </w:r>
    </w:p>
    <w:p w14:paraId="709A18DF" w14:textId="77777777" w:rsidR="00964C26" w:rsidRDefault="009F0C94" w:rsidP="0030693C">
      <w:pPr>
        <w:pStyle w:val="MPLParagraphlevel1"/>
      </w:pPr>
      <w:r>
        <w:t>If a candidate’s application is rejected, the candidate is regarded as making unsatisfactory academic progress and the dean will issue a formal warning of unsatisfactory progress in accordance with the Academic Progress Review Policy (Graduate Research).</w:t>
      </w:r>
    </w:p>
    <w:p w14:paraId="62B9265C" w14:textId="77777777" w:rsidR="00964C26" w:rsidRDefault="009F0C94" w:rsidP="0030693C">
      <w:pPr>
        <w:pStyle w:val="MPLParagraphlevel1"/>
      </w:pPr>
      <w:r>
        <w:t>Candidates who are permitted to lapse:</w:t>
      </w:r>
    </w:p>
    <w:p w14:paraId="7401814B" w14:textId="77777777" w:rsidR="00964C26" w:rsidRDefault="009F0C94" w:rsidP="0030693C">
      <w:pPr>
        <w:pStyle w:val="MPLParagraphlevel2"/>
        <w:rPr>
          <w:rFonts w:eastAsia="Arial"/>
        </w:rPr>
      </w:pPr>
      <w:r>
        <w:rPr>
          <w:rFonts w:eastAsia="Arial"/>
        </w:rPr>
        <w:t>are provided with access to University services such as a student email account, library and student advising system;</w:t>
      </w:r>
    </w:p>
    <w:p w14:paraId="78CA0D55" w14:textId="77777777" w:rsidR="00964C26" w:rsidRDefault="009F0C94" w:rsidP="0030693C">
      <w:pPr>
        <w:pStyle w:val="MPLParagraphlevel2"/>
        <w:rPr>
          <w:rFonts w:eastAsia="Arial"/>
        </w:rPr>
      </w:pPr>
      <w:r>
        <w:rPr>
          <w:rFonts w:eastAsia="Arial"/>
        </w:rPr>
        <w:t>may be provided with access to University facilities, such as laboratory or studio space, at the discretion of the head of department; and</w:t>
      </w:r>
    </w:p>
    <w:p w14:paraId="7A6E7614" w14:textId="77777777" w:rsidR="00964C26" w:rsidRDefault="009F0C94" w:rsidP="0030693C">
      <w:pPr>
        <w:pStyle w:val="MPLParagraphlevel2"/>
        <w:rPr>
          <w:rFonts w:eastAsia="Arial"/>
        </w:rPr>
      </w:pPr>
      <w:r>
        <w:rPr>
          <w:rFonts w:eastAsia="Arial"/>
        </w:rPr>
        <w:t>are only provided with access to an advisory committee or ongoing supervision with the permission of the relevant dean.</w:t>
      </w:r>
    </w:p>
    <w:p w14:paraId="7AB4D55F" w14:textId="77777777" w:rsidR="00964C26" w:rsidRDefault="009F0C94" w:rsidP="0030693C">
      <w:pPr>
        <w:pStyle w:val="MPLParagraphlevel1"/>
      </w:pPr>
      <w:r>
        <w:t xml:space="preserve">A dean may only approve an extension to lapse, up to two calendar years in total for a doctoral candidate and one calendar year in total for a </w:t>
      </w:r>
      <w:proofErr w:type="gramStart"/>
      <w:r>
        <w:t>masters</w:t>
      </w:r>
      <w:proofErr w:type="gramEnd"/>
      <w:r>
        <w:t xml:space="preserve"> candidate, where compelling personal, medical or compassionate grounds exist and if the conditions at section 5.28 are satisfied.</w:t>
      </w:r>
    </w:p>
    <w:p w14:paraId="066AA450" w14:textId="5746F61D" w:rsidR="00964C26" w:rsidRDefault="009F0C94" w:rsidP="0030693C">
      <w:pPr>
        <w:pStyle w:val="MPLParagraphlevel1"/>
      </w:pPr>
      <w:r>
        <w:lastRenderedPageBreak/>
        <w:t>If a candidate does not submit their thesis within the agreed period of lapse their enrolment is terminated.</w:t>
      </w:r>
    </w:p>
    <w:p w14:paraId="442E3BD9" w14:textId="77777777" w:rsidR="00964C26" w:rsidRDefault="009F0C94" w:rsidP="0030693C">
      <w:pPr>
        <w:pStyle w:val="MPFSubheading"/>
      </w:pPr>
      <w:r>
        <w:t>Late submission applications and approvals</w:t>
      </w:r>
    </w:p>
    <w:p w14:paraId="3CBAC2CF" w14:textId="77777777" w:rsidR="00964C26" w:rsidRDefault="009F0C94" w:rsidP="0030693C">
      <w:pPr>
        <w:pStyle w:val="MPLParagraphlevel1"/>
      </w:pPr>
      <w:r>
        <w:t>This section applies to all candidates confirmed on or after 1 January 2018.</w:t>
      </w:r>
    </w:p>
    <w:p w14:paraId="63D043E8" w14:textId="77777777" w:rsidR="00964C26" w:rsidRDefault="009F0C94" w:rsidP="0030693C">
      <w:pPr>
        <w:pStyle w:val="MPLParagraphlevel1"/>
      </w:pPr>
      <w:r>
        <w:t>Late submission must be approved by the dean.</w:t>
      </w:r>
    </w:p>
    <w:p w14:paraId="47CA0AC6" w14:textId="77777777" w:rsidR="00964C26" w:rsidRDefault="009F0C94" w:rsidP="0030693C">
      <w:pPr>
        <w:pStyle w:val="MPLParagraphlevel1"/>
      </w:pPr>
      <w:r>
        <w:t>Approval for late submission may only be granted by the dean if in the opinion of the dean, and as recommended by the candidate’s advisory committee:</w:t>
      </w:r>
    </w:p>
    <w:p w14:paraId="2D0C328F" w14:textId="77777777" w:rsidR="00964C26" w:rsidRDefault="009F0C94" w:rsidP="0030693C">
      <w:pPr>
        <w:pStyle w:val="MPLParagraphlevel2"/>
        <w:rPr>
          <w:rFonts w:eastAsia="Arial"/>
        </w:rPr>
      </w:pPr>
      <w:r>
        <w:rPr>
          <w:rFonts w:eastAsia="Arial"/>
        </w:rPr>
        <w:t>the candidate has demonstrated sufficient understanding of the research topic to make completion likely; and</w:t>
      </w:r>
    </w:p>
    <w:p w14:paraId="47FC6F9D" w14:textId="77777777" w:rsidR="00964C26" w:rsidRDefault="009F0C94" w:rsidP="0030693C">
      <w:pPr>
        <w:pStyle w:val="MPLParagraphlevel2"/>
        <w:rPr>
          <w:rFonts w:eastAsia="Arial"/>
        </w:rPr>
      </w:pPr>
      <w:r>
        <w:rPr>
          <w:rFonts w:eastAsia="Arial"/>
        </w:rPr>
        <w:t>the candidate has provided a credible plan for completion.</w:t>
      </w:r>
    </w:p>
    <w:p w14:paraId="3A52C7CE" w14:textId="77777777" w:rsidR="00964C26" w:rsidRDefault="009F0C94" w:rsidP="0030693C">
      <w:pPr>
        <w:pStyle w:val="MPLParagraphlevel1"/>
      </w:pPr>
      <w:r>
        <w:t>An application for late submission can only be granted if the criteria at 5.35 are satisfied, and the delay in submission is due to:</w:t>
      </w:r>
    </w:p>
    <w:p w14:paraId="14C807A6" w14:textId="77777777" w:rsidR="00964C26" w:rsidRDefault="009F0C94" w:rsidP="0030693C">
      <w:pPr>
        <w:pStyle w:val="MPLParagraphlevel2"/>
        <w:rPr>
          <w:rFonts w:eastAsia="Arial"/>
        </w:rPr>
      </w:pPr>
      <w:r>
        <w:rPr>
          <w:rFonts w:eastAsia="Arial"/>
        </w:rPr>
        <w:t>compelling and serious research-related reasons beyond the candidates’ control, or</w:t>
      </w:r>
    </w:p>
    <w:p w14:paraId="58DA2EAA" w14:textId="77777777" w:rsidR="00964C26" w:rsidRDefault="009F0C94" w:rsidP="0030693C">
      <w:pPr>
        <w:pStyle w:val="MPLParagraphlevel2"/>
        <w:rPr>
          <w:rFonts w:eastAsia="Arial"/>
        </w:rPr>
      </w:pPr>
      <w:r>
        <w:rPr>
          <w:rFonts w:eastAsia="Arial"/>
        </w:rPr>
        <w:t>compelling or unexpected, personal or medical reasons which have arisen during the candidature period.</w:t>
      </w:r>
    </w:p>
    <w:p w14:paraId="453D14E9" w14:textId="77777777" w:rsidR="00964C26" w:rsidRDefault="009F0C94" w:rsidP="0030693C">
      <w:pPr>
        <w:pStyle w:val="MPLParagraphlevel1"/>
      </w:pPr>
      <w:r>
        <w:t>Compelling and serious research related reasons beyond the candidate’s control may include:</w:t>
      </w:r>
    </w:p>
    <w:p w14:paraId="535810BA" w14:textId="77777777" w:rsidR="00964C26" w:rsidRDefault="009F0C94" w:rsidP="0030693C">
      <w:pPr>
        <w:pStyle w:val="MPLParagraphlevel2"/>
        <w:rPr>
          <w:rFonts w:eastAsia="Arial"/>
        </w:rPr>
      </w:pPr>
      <w:r>
        <w:rPr>
          <w:rFonts w:eastAsia="Arial"/>
        </w:rPr>
        <w:t>delays to ethics approval;</w:t>
      </w:r>
    </w:p>
    <w:p w14:paraId="7486807D" w14:textId="77777777" w:rsidR="00964C26" w:rsidRDefault="009F0C94" w:rsidP="0030693C">
      <w:pPr>
        <w:pStyle w:val="MPLParagraphlevel2"/>
        <w:rPr>
          <w:rFonts w:eastAsia="Arial"/>
        </w:rPr>
      </w:pPr>
      <w:r>
        <w:rPr>
          <w:rFonts w:eastAsia="Arial"/>
        </w:rPr>
        <w:t>unexpected change of direction of research due to external or other factors (for example, legislative requirements);</w:t>
      </w:r>
    </w:p>
    <w:p w14:paraId="66FC4234" w14:textId="77777777" w:rsidR="00964C26" w:rsidRDefault="009F0C94" w:rsidP="0030693C">
      <w:pPr>
        <w:pStyle w:val="MPLParagraphlevel2"/>
        <w:rPr>
          <w:rFonts w:eastAsia="Arial"/>
        </w:rPr>
      </w:pPr>
      <w:r>
        <w:rPr>
          <w:rFonts w:eastAsia="Arial"/>
        </w:rPr>
        <w:t>delays to experimental work;</w:t>
      </w:r>
    </w:p>
    <w:p w14:paraId="7684BC66" w14:textId="77777777" w:rsidR="00964C26" w:rsidRDefault="009F0C94" w:rsidP="0030693C">
      <w:pPr>
        <w:pStyle w:val="MPLParagraphlevel2"/>
        <w:rPr>
          <w:rFonts w:eastAsia="Arial"/>
        </w:rPr>
      </w:pPr>
      <w:r>
        <w:rPr>
          <w:rFonts w:eastAsia="Arial"/>
        </w:rPr>
        <w:t>delayed access to, or loss of, a research site(s);</w:t>
      </w:r>
    </w:p>
    <w:p w14:paraId="5D3C8A64" w14:textId="77777777" w:rsidR="00964C26" w:rsidRDefault="009F0C94" w:rsidP="0030693C">
      <w:pPr>
        <w:pStyle w:val="MPLParagraphlevel2"/>
        <w:rPr>
          <w:rFonts w:eastAsia="Arial"/>
        </w:rPr>
      </w:pPr>
      <w:r>
        <w:rPr>
          <w:rFonts w:eastAsia="Arial"/>
        </w:rPr>
        <w:t xml:space="preserve">delays in being granted visa approval to travel to </w:t>
      </w:r>
      <w:proofErr w:type="gramStart"/>
      <w:r>
        <w:rPr>
          <w:rFonts w:eastAsia="Arial"/>
        </w:rPr>
        <w:t>another</w:t>
      </w:r>
      <w:proofErr w:type="gramEnd"/>
      <w:r>
        <w:rPr>
          <w:rFonts w:eastAsia="Arial"/>
        </w:rPr>
        <w:t xml:space="preserve"> country/countries to access research sites and/or archival repositories;</w:t>
      </w:r>
    </w:p>
    <w:p w14:paraId="7696098C" w14:textId="77777777" w:rsidR="00964C26" w:rsidRDefault="009F0C94" w:rsidP="0030693C">
      <w:pPr>
        <w:pStyle w:val="MPLParagraphlevel2"/>
        <w:rPr>
          <w:rFonts w:eastAsia="Arial"/>
        </w:rPr>
      </w:pPr>
      <w:r>
        <w:rPr>
          <w:rFonts w:eastAsia="Arial"/>
        </w:rPr>
        <w:t>delays in accessing archival, museum or other research sites due to delays in getting approval to access such sites;</w:t>
      </w:r>
    </w:p>
    <w:p w14:paraId="74F93D49" w14:textId="77777777" w:rsidR="00964C26" w:rsidRDefault="009F0C94" w:rsidP="0030693C">
      <w:pPr>
        <w:pStyle w:val="MPLParagraphlevel2"/>
        <w:rPr>
          <w:rFonts w:eastAsia="Arial"/>
        </w:rPr>
      </w:pPr>
      <w:r>
        <w:rPr>
          <w:rFonts w:eastAsia="Arial"/>
        </w:rPr>
        <w:t>loss of data;</w:t>
      </w:r>
    </w:p>
    <w:p w14:paraId="18B11C6C" w14:textId="77777777" w:rsidR="00964C26" w:rsidRDefault="009F0C94" w:rsidP="0030693C">
      <w:pPr>
        <w:pStyle w:val="MPLParagraphlevel2"/>
        <w:rPr>
          <w:rFonts w:eastAsia="Arial"/>
        </w:rPr>
      </w:pPr>
      <w:r>
        <w:rPr>
          <w:rFonts w:eastAsia="Arial"/>
        </w:rPr>
        <w:t>equipment breakdown;</w:t>
      </w:r>
    </w:p>
    <w:p w14:paraId="5D9C1B4C" w14:textId="77777777" w:rsidR="00964C26" w:rsidRDefault="009F0C94" w:rsidP="0030693C">
      <w:pPr>
        <w:pStyle w:val="MPLParagraphlevel2"/>
        <w:rPr>
          <w:rFonts w:eastAsia="Arial"/>
        </w:rPr>
      </w:pPr>
      <w:r>
        <w:rPr>
          <w:rFonts w:eastAsia="Arial"/>
        </w:rPr>
        <w:t>loss of access to equipment.</w:t>
      </w:r>
    </w:p>
    <w:p w14:paraId="48D01810" w14:textId="77777777" w:rsidR="00964C26" w:rsidRDefault="009F0C94" w:rsidP="0030693C">
      <w:pPr>
        <w:pStyle w:val="MPLParagraphlevel1"/>
      </w:pPr>
      <w:r>
        <w:t>Suspension for misconduct, and the consequent loss of time to complete, is not a reason to grant late submission.</w:t>
      </w:r>
    </w:p>
    <w:p w14:paraId="7237F567" w14:textId="77777777" w:rsidR="00964C26" w:rsidRDefault="009F0C94" w:rsidP="0030693C">
      <w:pPr>
        <w:pStyle w:val="MPLParagraphlevel1"/>
      </w:pPr>
      <w:r>
        <w:t>Applications for late submission are assessed by a Late Submission Panel. A decision of the Late Submission Panel is a decision of the dean.</w:t>
      </w:r>
    </w:p>
    <w:p w14:paraId="67CE5738" w14:textId="77777777" w:rsidR="00964C26" w:rsidRDefault="009F0C94" w:rsidP="0030693C">
      <w:pPr>
        <w:pStyle w:val="MPLParagraphlevel1"/>
      </w:pPr>
      <w:r>
        <w:t>The Late Submission Panel (the "panel") must comprise a minimum of three and a maximum of five people and as far as practicable must be gender balanced. The panel must comprise:</w:t>
      </w:r>
    </w:p>
    <w:p w14:paraId="71F4E146" w14:textId="2F720CB3" w:rsidR="00964C26" w:rsidRDefault="009F0C94" w:rsidP="0030693C">
      <w:pPr>
        <w:pStyle w:val="MPLParagraphlevel2"/>
        <w:rPr>
          <w:rFonts w:eastAsia="Arial"/>
        </w:rPr>
      </w:pPr>
      <w:r>
        <w:rPr>
          <w:rFonts w:eastAsia="Arial"/>
        </w:rPr>
        <w:t>The faculty associate dean graduate research, or equivalent who will chair the meeting. Where a conflict exists, the dean must appoint a senior academic from the faculty as chair.</w:t>
      </w:r>
    </w:p>
    <w:p w14:paraId="5A7323C7" w14:textId="77777777" w:rsidR="00964C26" w:rsidRDefault="009F0C94" w:rsidP="0030693C">
      <w:pPr>
        <w:pStyle w:val="MPLParagraphlevel2"/>
        <w:rPr>
          <w:rFonts w:eastAsia="Arial"/>
        </w:rPr>
      </w:pPr>
      <w:r>
        <w:rPr>
          <w:rFonts w:eastAsia="Arial"/>
        </w:rPr>
        <w:t>A member of the Board’s Higher Degrees by Research Committee, who is not a member of the faculty and is not a supervisor of any candidate whose candidature is under consideration.</w:t>
      </w:r>
    </w:p>
    <w:p w14:paraId="0E30721F" w14:textId="77777777" w:rsidR="00964C26" w:rsidRDefault="009F0C94" w:rsidP="0030693C">
      <w:pPr>
        <w:pStyle w:val="MPLParagraphlevel2"/>
        <w:rPr>
          <w:rFonts w:eastAsia="Arial"/>
        </w:rPr>
      </w:pPr>
      <w:r>
        <w:rPr>
          <w:rFonts w:eastAsia="Arial"/>
        </w:rPr>
        <w:lastRenderedPageBreak/>
        <w:t xml:space="preserve">Up to three academic staff of the faculty with significant research training experience, who are registered supervisors with a track record of timely </w:t>
      </w:r>
      <w:proofErr w:type="gramStart"/>
      <w:r>
        <w:rPr>
          <w:rFonts w:eastAsia="Arial"/>
        </w:rPr>
        <w:t>completions, and</w:t>
      </w:r>
      <w:proofErr w:type="gramEnd"/>
      <w:r>
        <w:rPr>
          <w:rFonts w:eastAsia="Arial"/>
        </w:rPr>
        <w:t xml:space="preserve"> are not a supervisor or member of an advisory committee of any candidate under consideration by the Late submission Panel.</w:t>
      </w:r>
    </w:p>
    <w:p w14:paraId="7396C728" w14:textId="77777777" w:rsidR="00964C26" w:rsidRDefault="009F0C94" w:rsidP="0030693C">
      <w:pPr>
        <w:pStyle w:val="MPLParagraphlevel1"/>
      </w:pPr>
      <w:r>
        <w:t>A quorum for the committee is 3 members and must include the members at category 5.40 (a) and b).</w:t>
      </w:r>
    </w:p>
    <w:p w14:paraId="7A6336B3" w14:textId="77777777" w:rsidR="00964C26" w:rsidRDefault="009F0C94" w:rsidP="0030693C">
      <w:pPr>
        <w:pStyle w:val="MPLParagraphlevel1"/>
      </w:pPr>
      <w:r>
        <w:t>The faculty graduate research manager, or equivalent, must provide executive support to the panel, but is not a member of the panel.</w:t>
      </w:r>
    </w:p>
    <w:p w14:paraId="4B3663E4" w14:textId="77777777" w:rsidR="00964C26" w:rsidRDefault="009F0C94" w:rsidP="0030693C">
      <w:pPr>
        <w:pStyle w:val="MPLParagraphlevel1"/>
      </w:pPr>
      <w:r>
        <w:t>Candidates who are permitted to make a late submission will not be enrolled and will not have an enrolled status in the student management system.</w:t>
      </w:r>
    </w:p>
    <w:p w14:paraId="00A30D34" w14:textId="77777777" w:rsidR="00964C26" w:rsidRDefault="009F0C94" w:rsidP="0030693C">
      <w:pPr>
        <w:pStyle w:val="MPLParagraphlevel1"/>
      </w:pPr>
      <w:r>
        <w:t>If candidates are granted late submission and require access to University facilities for research related reasons, such as laboratory or studio space, they must be enrolled for administrative purposes. An identifying status will be assigned to these candidates in the student management system.</w:t>
      </w:r>
    </w:p>
    <w:p w14:paraId="0A3E4289" w14:textId="15C7571B" w:rsidR="00964C26" w:rsidRDefault="009F0C94" w:rsidP="0030693C">
      <w:pPr>
        <w:pStyle w:val="MPLParagraphlevel1"/>
      </w:pPr>
      <w:r>
        <w:t xml:space="preserve">For avoidance of doubt, as second or subsequent late submission date may be permitted for a candidate, however, the final “late submission” date cannot exceed a candidate’s </w:t>
      </w:r>
      <w:hyperlink r:id="rId38" w:anchor="section-4.47.1" w:history="1">
        <w:r>
          <w:rPr>
            <w:color w:val="0000FF"/>
            <w:u w:val="single"/>
          </w:rPr>
          <w:t>maximum submission date</w:t>
        </w:r>
      </w:hyperlink>
      <w:r>
        <w:t>.</w:t>
      </w:r>
    </w:p>
    <w:p w14:paraId="118B2F8E" w14:textId="77777777" w:rsidR="00964C26" w:rsidRDefault="009F0C94" w:rsidP="0030693C">
      <w:pPr>
        <w:pStyle w:val="MPLParagraphlevel1"/>
      </w:pPr>
      <w:r>
        <w:t>Candidates who have been granted a late submission will be issued with a reminder to submit their thesis three months prior to the maximum submission date.</w:t>
      </w:r>
    </w:p>
    <w:p w14:paraId="23AC18E4" w14:textId="48A83E83" w:rsidR="00964C26" w:rsidRDefault="009F0C94" w:rsidP="0030693C">
      <w:pPr>
        <w:pStyle w:val="MPLParagraphlevel1"/>
      </w:pPr>
      <w:r>
        <w:t xml:space="preserve">If a candidate does not submit their thesis by the maximum submission date granted under this provision, their progress is </w:t>
      </w:r>
      <w:proofErr w:type="gramStart"/>
      <w:r>
        <w:t>unsatisfactory</w:t>
      </w:r>
      <w:proofErr w:type="gramEnd"/>
      <w:r>
        <w:t xml:space="preserve"> and their enrolment is terminated without further warning.</w:t>
      </w:r>
    </w:p>
    <w:p w14:paraId="1C43AACD" w14:textId="77777777" w:rsidR="00964C26" w:rsidRDefault="009F0C94" w:rsidP="0030693C">
      <w:pPr>
        <w:pStyle w:val="MPLParagraphlevel1"/>
      </w:pPr>
      <w:r>
        <w:t>Reports on decisions made by late submission panels must be provided to the Higher Degrees by Research Committee on request of the Academic Secretary, and at least annually.</w:t>
      </w:r>
    </w:p>
    <w:p w14:paraId="6AFC2CA3" w14:textId="77777777" w:rsidR="00964C26" w:rsidRDefault="009F0C94" w:rsidP="0030693C">
      <w:pPr>
        <w:pStyle w:val="MPFSubheading"/>
      </w:pPr>
      <w:r>
        <w:t>Extensions to submission date of up to 10 working days</w:t>
      </w:r>
    </w:p>
    <w:p w14:paraId="67494736" w14:textId="77777777" w:rsidR="00964C26" w:rsidRDefault="009F0C94" w:rsidP="0030693C">
      <w:pPr>
        <w:pStyle w:val="MPLParagraphlevel1"/>
      </w:pPr>
      <w:r>
        <w:t>Notwithstanding any provision of this policy, a dean may grant an extension to submit of up to 10 business days due to unforeseen circumstances, which have impacted a candidate’s ability to submit in a timely way, in the final days prior to the submission date. Any extension or extensions granted under this section can only be up to a total of 10 business days and is a 10 business days extension to the maximum submission time.</w:t>
      </w:r>
    </w:p>
    <w:p w14:paraId="013DCAB2" w14:textId="77777777" w:rsidR="00964C26" w:rsidRDefault="009F0C94" w:rsidP="0030693C">
      <w:pPr>
        <w:pStyle w:val="MPLParagraphlevel1"/>
      </w:pPr>
      <w:r>
        <w:t>Candidates must apply for an extension directly to the relevant faculty in accordance with the faculty’s published process.</w:t>
      </w:r>
    </w:p>
    <w:p w14:paraId="3A95CD9B" w14:textId="77777777" w:rsidR="00964C26" w:rsidRDefault="009F0C94" w:rsidP="0030693C">
      <w:pPr>
        <w:pStyle w:val="MPLParagraphlevel1"/>
      </w:pPr>
      <w:r>
        <w:t>The dean must advise the candidate and the Academic Registrar in writing of the outcome of an extension application within 3 business days.</w:t>
      </w:r>
    </w:p>
    <w:p w14:paraId="1FFD7CF7" w14:textId="77777777" w:rsidR="00964C26" w:rsidRDefault="009F0C94" w:rsidP="0030693C">
      <w:pPr>
        <w:pStyle w:val="MPFSubheading"/>
      </w:pPr>
      <w:r>
        <w:t>Completion seminar</w:t>
      </w:r>
    </w:p>
    <w:p w14:paraId="5AAFE3E0" w14:textId="77777777" w:rsidR="00964C26" w:rsidRDefault="009F0C94" w:rsidP="0030693C">
      <w:pPr>
        <w:pStyle w:val="MPLParagraphlevel1"/>
      </w:pPr>
      <w:r>
        <w:t xml:space="preserve">Candidates enrolled in a higher degree by research course must present their research findings at a public completion seminar within the six months prior to submitting their thesis for </w:t>
      </w:r>
      <w:r>
        <w:lastRenderedPageBreak/>
        <w:t>examination at a time determined by the advisory committee. The advisory committee may make provision for an alternative arrangement when a candidate:</w:t>
      </w:r>
    </w:p>
    <w:p w14:paraId="28C5E18B" w14:textId="77777777" w:rsidR="00964C26" w:rsidRDefault="0030693C" w:rsidP="0030693C">
      <w:pPr>
        <w:pStyle w:val="MPLParagraphlevel2"/>
        <w:rPr>
          <w:rFonts w:eastAsia="Arial"/>
        </w:rPr>
      </w:pPr>
      <w:r>
        <w:rPr>
          <w:rFonts w:eastAsia="Arial"/>
        </w:rPr>
        <w:t xml:space="preserve">Is </w:t>
      </w:r>
      <w:r w:rsidR="009F0C94">
        <w:rPr>
          <w:rFonts w:eastAsia="Arial"/>
        </w:rPr>
        <w:t>not resident in Melbourne within 6 months of submission, in which case the advisory committee may permit an early or videoconference; and/or</w:t>
      </w:r>
    </w:p>
    <w:p w14:paraId="4A6A4AD1" w14:textId="77777777" w:rsidR="00964C26" w:rsidRDefault="009F0C94" w:rsidP="0030693C">
      <w:pPr>
        <w:pStyle w:val="MPLParagraphlevel2"/>
        <w:rPr>
          <w:rFonts w:eastAsia="Arial"/>
        </w:rPr>
      </w:pPr>
      <w:r>
        <w:rPr>
          <w:rFonts w:eastAsia="Arial"/>
        </w:rPr>
        <w:t xml:space="preserve">with a disability or in special circumstances requests particular </w:t>
      </w:r>
      <w:proofErr w:type="gramStart"/>
      <w:r>
        <w:rPr>
          <w:rFonts w:eastAsia="Arial"/>
        </w:rPr>
        <w:t>support,  an</w:t>
      </w:r>
      <w:proofErr w:type="gramEnd"/>
      <w:r>
        <w:rPr>
          <w:rFonts w:eastAsia="Arial"/>
        </w:rPr>
        <w:t xml:space="preserve"> alternative delivery format, or waiver as endorsed by the chair of examiners; and/or</w:t>
      </w:r>
    </w:p>
    <w:p w14:paraId="6AC50C0A" w14:textId="77777777" w:rsidR="00964C26" w:rsidRDefault="009F0C94" w:rsidP="0030693C">
      <w:pPr>
        <w:pStyle w:val="MPLParagraphlevel2"/>
        <w:rPr>
          <w:rFonts w:eastAsia="Arial"/>
        </w:rPr>
      </w:pPr>
      <w:r>
        <w:rPr>
          <w:rFonts w:eastAsia="Arial"/>
        </w:rPr>
        <w:t>has exceptional circumstances which require the completion seminar to be held after submission and this has been approved by the chair of examiners.</w:t>
      </w:r>
    </w:p>
    <w:p w14:paraId="246BCCDA" w14:textId="77777777" w:rsidR="00964C26" w:rsidRDefault="009F0C94" w:rsidP="0030693C">
      <w:pPr>
        <w:pStyle w:val="MPLParagraphlevel1"/>
      </w:pPr>
      <w:r>
        <w:t xml:space="preserve"> The purpose of the completion seminar is to recognise a significant milestone in the candidature, and to support the candidate in:</w:t>
      </w:r>
    </w:p>
    <w:p w14:paraId="569E8C5A" w14:textId="77777777" w:rsidR="00964C26" w:rsidRDefault="009F0C94" w:rsidP="0030693C">
      <w:pPr>
        <w:pStyle w:val="MPLParagraphlevel2"/>
        <w:rPr>
          <w:rFonts w:eastAsia="Arial"/>
        </w:rPr>
      </w:pPr>
      <w:r>
        <w:rPr>
          <w:rFonts w:eastAsia="Arial"/>
        </w:rPr>
        <w:t>the acquisition of the graduate attributes;</w:t>
      </w:r>
    </w:p>
    <w:p w14:paraId="1B7B4BA3" w14:textId="77777777" w:rsidR="00964C26" w:rsidRDefault="009F0C94" w:rsidP="0030693C">
      <w:pPr>
        <w:pStyle w:val="MPLParagraphlevel2"/>
        <w:rPr>
          <w:rFonts w:eastAsia="Arial"/>
        </w:rPr>
      </w:pPr>
      <w:r>
        <w:rPr>
          <w:rFonts w:eastAsia="Arial"/>
        </w:rPr>
        <w:t>the ability to present research findings; and</w:t>
      </w:r>
    </w:p>
    <w:p w14:paraId="6411781E" w14:textId="77777777" w:rsidR="00964C26" w:rsidRDefault="009F0C94" w:rsidP="0030693C">
      <w:pPr>
        <w:pStyle w:val="MPLParagraphlevel2"/>
        <w:rPr>
          <w:rFonts w:eastAsia="Arial"/>
        </w:rPr>
      </w:pPr>
      <w:r>
        <w:rPr>
          <w:rFonts w:eastAsia="Arial"/>
        </w:rPr>
        <w:t>(the identification of opportunities to improve/advance the thesis prior to submission, where undertaken before submission.</w:t>
      </w:r>
    </w:p>
    <w:p w14:paraId="0D39F0D1" w14:textId="77777777" w:rsidR="00964C26" w:rsidRDefault="009F0C94" w:rsidP="0030693C">
      <w:pPr>
        <w:pStyle w:val="MPLParagraphlevel1"/>
      </w:pPr>
      <w:r>
        <w:t xml:space="preserve">In preparation for the completion seminar, at least two weeks prior to the seminar the candidate must provide an abstract of no more than 100 words via the online form in accordance with the rules published on the </w:t>
      </w:r>
      <w:hyperlink r:id="rId39" w:tgtFrame="_blank" w:history="1">
        <w:r>
          <w:rPr>
            <w:color w:val="0000FF"/>
            <w:u w:val="single"/>
          </w:rPr>
          <w:t>Graduate Research Hub</w:t>
        </w:r>
      </w:hyperlink>
      <w:r>
        <w:t xml:space="preserve"> to facilitate publicity of the seminar.</w:t>
      </w:r>
    </w:p>
    <w:p w14:paraId="02D83435" w14:textId="77777777" w:rsidR="00964C26" w:rsidRDefault="009F0C94" w:rsidP="0030693C">
      <w:pPr>
        <w:pStyle w:val="MPLParagraphlevel1"/>
      </w:pPr>
      <w:r>
        <w:t>The completion seminar:</w:t>
      </w:r>
    </w:p>
    <w:p w14:paraId="3B578429" w14:textId="77777777" w:rsidR="00964C26" w:rsidRDefault="009F0C94" w:rsidP="0030693C">
      <w:pPr>
        <w:pStyle w:val="MPLParagraphlevel2"/>
        <w:rPr>
          <w:rFonts w:eastAsia="Arial"/>
        </w:rPr>
      </w:pPr>
      <w:r>
        <w:rPr>
          <w:rFonts w:eastAsia="Arial"/>
        </w:rPr>
        <w:t>audience must comprise a panel of at least three persons including members of the candidate’s advisory committee and involve a member external to the advisory committee (and external to the academic unit where practicable);</w:t>
      </w:r>
    </w:p>
    <w:p w14:paraId="2775E780" w14:textId="77777777" w:rsidR="00964C26" w:rsidRDefault="009F0C94" w:rsidP="0030693C">
      <w:pPr>
        <w:pStyle w:val="MPLParagraphlevel2"/>
        <w:rPr>
          <w:rFonts w:eastAsia="Arial"/>
        </w:rPr>
      </w:pPr>
      <w:r>
        <w:rPr>
          <w:rFonts w:eastAsia="Arial"/>
        </w:rPr>
        <w:t>should be promoted at least one week prior to the seminar through appropriate University and/or research organisation media; and</w:t>
      </w:r>
    </w:p>
    <w:p w14:paraId="713ED25E" w14:textId="77777777" w:rsidR="00964C26" w:rsidRDefault="009F0C94" w:rsidP="0030693C">
      <w:pPr>
        <w:pStyle w:val="MPLParagraphlevel2"/>
        <w:rPr>
          <w:rFonts w:eastAsia="Arial"/>
        </w:rPr>
      </w:pPr>
      <w:r>
        <w:rPr>
          <w:rFonts w:eastAsia="Arial"/>
        </w:rPr>
        <w:t>should generally be one-hour duration to allow time for robust panel and audience questioning and engagement.</w:t>
      </w:r>
    </w:p>
    <w:p w14:paraId="12195B2F" w14:textId="77777777" w:rsidR="00964C26" w:rsidRDefault="009F0C94" w:rsidP="0030693C">
      <w:pPr>
        <w:pStyle w:val="MPLParagraphlevel1"/>
      </w:pPr>
      <w:r>
        <w:t>The completion seminar panel:</w:t>
      </w:r>
    </w:p>
    <w:p w14:paraId="71CBD770" w14:textId="77777777" w:rsidR="00964C26" w:rsidRDefault="009F0C94" w:rsidP="0030693C">
      <w:pPr>
        <w:pStyle w:val="MPLParagraphlevel2"/>
        <w:rPr>
          <w:rFonts w:eastAsia="Arial"/>
        </w:rPr>
      </w:pPr>
      <w:r>
        <w:rPr>
          <w:rFonts w:eastAsia="Arial"/>
        </w:rPr>
        <w:t>must be convened by the principal supervisor;</w:t>
      </w:r>
    </w:p>
    <w:p w14:paraId="3414DAD3" w14:textId="77777777" w:rsidR="00964C26" w:rsidRDefault="009F0C94" w:rsidP="0030693C">
      <w:pPr>
        <w:pStyle w:val="MPLParagraphlevel2"/>
        <w:rPr>
          <w:rFonts w:eastAsia="Arial"/>
        </w:rPr>
      </w:pPr>
      <w:r>
        <w:rPr>
          <w:rFonts w:eastAsia="Arial"/>
        </w:rPr>
        <w:t>chair should be, or be appointed by, the chair of the advisory committee and cannot be the candidate’s principal supervisor;</w:t>
      </w:r>
    </w:p>
    <w:p w14:paraId="1F1BA34D" w14:textId="77777777" w:rsidR="00964C26" w:rsidRDefault="009F0C94" w:rsidP="0030693C">
      <w:pPr>
        <w:pStyle w:val="MPLParagraphlevel2"/>
        <w:rPr>
          <w:rFonts w:eastAsia="Arial"/>
        </w:rPr>
      </w:pPr>
      <w:r>
        <w:rPr>
          <w:rFonts w:eastAsia="Arial"/>
        </w:rPr>
        <w:t>must complete a report documenting when and where the seminar took place addressing the matters set out at 5.76, and commenting on the quality of the completion seminar presentation;</w:t>
      </w:r>
    </w:p>
    <w:p w14:paraId="025481DD" w14:textId="77777777" w:rsidR="00964C26" w:rsidRDefault="009F0C94" w:rsidP="0030693C">
      <w:pPr>
        <w:pStyle w:val="MPLParagraphlevel2"/>
        <w:rPr>
          <w:rFonts w:eastAsia="Arial"/>
        </w:rPr>
      </w:pPr>
      <w:r>
        <w:rPr>
          <w:rFonts w:eastAsia="Arial"/>
        </w:rPr>
        <w:t>chair must ensure that the seminar report (5.79 (c)) is lodged in the relevant student records system within 10 business days of the date of the seminar; and</w:t>
      </w:r>
    </w:p>
    <w:p w14:paraId="7F06BA4C" w14:textId="77777777" w:rsidR="00964C26" w:rsidRDefault="009F0C94" w:rsidP="0030693C">
      <w:pPr>
        <w:pStyle w:val="MPLParagraphlevel2"/>
        <w:rPr>
          <w:rFonts w:eastAsia="Arial"/>
        </w:rPr>
      </w:pPr>
      <w:r>
        <w:rPr>
          <w:rFonts w:eastAsia="Arial"/>
        </w:rPr>
        <w:t>may require the candidate to remain in closed session at the end of the seminar for further discussion.</w:t>
      </w:r>
    </w:p>
    <w:p w14:paraId="4025EC99" w14:textId="39C3BE46" w:rsidR="00964C26" w:rsidRDefault="008074E7" w:rsidP="0030693C">
      <w:pPr>
        <w:pStyle w:val="MPFSubheading"/>
      </w:pPr>
      <w:r>
        <w:t>S</w:t>
      </w:r>
      <w:r w:rsidR="009F0C94">
        <w:t>ubmission</w:t>
      </w:r>
    </w:p>
    <w:p w14:paraId="09F28539" w14:textId="77777777" w:rsidR="00964C26" w:rsidRDefault="009F0C94" w:rsidP="0030693C">
      <w:pPr>
        <w:pStyle w:val="MPLParagraphlevel1"/>
      </w:pPr>
      <w:r>
        <w:t>Candidates must submit their thesis or compilation in accordance with the Board approved instructions on the Graduate Research Hub. These instructions include the requirements of:</w:t>
      </w:r>
    </w:p>
    <w:p w14:paraId="37ED94CE" w14:textId="77777777" w:rsidR="00964C26" w:rsidRDefault="009F0C94" w:rsidP="0030693C">
      <w:pPr>
        <w:pStyle w:val="MPLParagraphlevel2"/>
        <w:rPr>
          <w:rFonts w:eastAsia="Arial"/>
        </w:rPr>
      </w:pPr>
      <w:r>
        <w:rPr>
          <w:rFonts w:eastAsia="Arial"/>
        </w:rPr>
        <w:lastRenderedPageBreak/>
        <w:t>materials for submission of the thesis or compilation;</w:t>
      </w:r>
    </w:p>
    <w:p w14:paraId="3072660C" w14:textId="77777777" w:rsidR="00964C26" w:rsidRDefault="009F0C94" w:rsidP="0030693C">
      <w:pPr>
        <w:pStyle w:val="MPLParagraphlevel2"/>
        <w:rPr>
          <w:rFonts w:eastAsia="Arial"/>
        </w:rPr>
      </w:pPr>
      <w:r>
        <w:rPr>
          <w:rFonts w:eastAsia="Arial"/>
        </w:rPr>
        <w:t>thesis format;</w:t>
      </w:r>
    </w:p>
    <w:p w14:paraId="2FC1B194" w14:textId="77777777" w:rsidR="00964C26" w:rsidRDefault="009F0C94" w:rsidP="0030693C">
      <w:pPr>
        <w:pStyle w:val="MPLParagraphlevel2"/>
        <w:rPr>
          <w:rFonts w:eastAsia="Arial"/>
        </w:rPr>
      </w:pPr>
      <w:r>
        <w:rPr>
          <w:rFonts w:eastAsia="Arial"/>
        </w:rPr>
        <w:t>compilation format; and</w:t>
      </w:r>
    </w:p>
    <w:p w14:paraId="34C63EBA" w14:textId="77777777" w:rsidR="00964C26" w:rsidRDefault="009F0C94" w:rsidP="0030693C">
      <w:pPr>
        <w:pStyle w:val="MPLParagraphlevel2"/>
        <w:rPr>
          <w:rFonts w:eastAsia="Arial"/>
        </w:rPr>
      </w:pPr>
      <w:r>
        <w:rPr>
          <w:rFonts w:eastAsia="Arial"/>
        </w:rPr>
        <w:t>final copy of the thesis or compilation.</w:t>
      </w:r>
    </w:p>
    <w:p w14:paraId="346135BF" w14:textId="77777777" w:rsidR="00964C26" w:rsidRDefault="009F0C94" w:rsidP="0030693C">
      <w:pPr>
        <w:pStyle w:val="MPFSubheading"/>
      </w:pPr>
      <w:r>
        <w:t>Nomination of examiners</w:t>
      </w:r>
    </w:p>
    <w:p w14:paraId="1057A181" w14:textId="77777777" w:rsidR="00964C26" w:rsidRDefault="009F0C94" w:rsidP="0030693C">
      <w:pPr>
        <w:pStyle w:val="MPLParagraphlevel1"/>
      </w:pPr>
      <w:r>
        <w:t xml:space="preserve">The </w:t>
      </w:r>
      <w:proofErr w:type="spellStart"/>
      <w:r>
        <w:t>CoE</w:t>
      </w:r>
      <w:proofErr w:type="spellEnd"/>
      <w:r>
        <w:t>, in consultation with the principal supervisor of the candidate, shall nominate three examiners who meet the eligibility requirements of this policy. The examiners must:</w:t>
      </w:r>
    </w:p>
    <w:p w14:paraId="0CDB7F6C" w14:textId="77777777" w:rsidR="00964C26" w:rsidRDefault="009F0C94" w:rsidP="0030693C">
      <w:pPr>
        <w:pStyle w:val="MPLParagraphlevel2"/>
        <w:rPr>
          <w:rFonts w:eastAsia="Arial"/>
        </w:rPr>
      </w:pPr>
      <w:r>
        <w:rPr>
          <w:rFonts w:eastAsia="Arial"/>
        </w:rPr>
        <w:t>agree to examine the thesis or compilation within 6 weeks of its receipt;</w:t>
      </w:r>
    </w:p>
    <w:p w14:paraId="5BB4167E" w14:textId="77777777" w:rsidR="00964C26" w:rsidRDefault="009F0C94" w:rsidP="0030693C">
      <w:pPr>
        <w:pStyle w:val="MPLParagraphlevel2"/>
        <w:rPr>
          <w:rFonts w:eastAsia="Arial"/>
        </w:rPr>
      </w:pPr>
      <w:r>
        <w:rPr>
          <w:rFonts w:eastAsia="Arial"/>
        </w:rPr>
        <w:t>declare that they have no real or perceived conflict of interest with the candidate, or the supervisors, or the institution, of a personal, professional, or commercial nature;</w:t>
      </w:r>
    </w:p>
    <w:p w14:paraId="26CFCBD2" w14:textId="77777777" w:rsidR="00964C26" w:rsidRDefault="009F0C94" w:rsidP="0030693C">
      <w:pPr>
        <w:pStyle w:val="MPLParagraphlevel2"/>
        <w:rPr>
          <w:rFonts w:eastAsia="Arial"/>
        </w:rPr>
      </w:pPr>
      <w:r>
        <w:rPr>
          <w:rFonts w:eastAsia="Arial"/>
        </w:rPr>
        <w:t>agree to maintain confidentiality throughout the examination process; and</w:t>
      </w:r>
    </w:p>
    <w:p w14:paraId="0CCB0E49" w14:textId="77777777" w:rsidR="00964C26" w:rsidRDefault="009F0C94" w:rsidP="0030693C">
      <w:pPr>
        <w:pStyle w:val="MPLParagraphlevel2"/>
        <w:rPr>
          <w:rFonts w:eastAsia="Arial"/>
        </w:rPr>
      </w:pPr>
      <w:r>
        <w:rPr>
          <w:rFonts w:eastAsia="Arial"/>
        </w:rPr>
        <w:t>where required, agree to sign a confidentiality agreement.</w:t>
      </w:r>
    </w:p>
    <w:p w14:paraId="64EFB593" w14:textId="77777777" w:rsidR="00964C26" w:rsidRDefault="009F0C94" w:rsidP="0030693C">
      <w:pPr>
        <w:pStyle w:val="MPLParagraphlevel1"/>
      </w:pPr>
      <w:r>
        <w:t>A candidate may submit to the chair of the examiners, through their supervisors, the names of up to two persons they believe are unsuitable to serve as an examiner, along with substantiated reasons for that belief. In exceptional circumstances candidates may nominate further individuals for exclusion as examiners.</w:t>
      </w:r>
    </w:p>
    <w:p w14:paraId="5B15A4F0" w14:textId="77777777" w:rsidR="00964C26" w:rsidRDefault="009F0C94" w:rsidP="0030693C">
      <w:pPr>
        <w:pStyle w:val="MPLParagraphlevel1"/>
      </w:pPr>
      <w:r>
        <w:t xml:space="preserve">The </w:t>
      </w:r>
      <w:proofErr w:type="spellStart"/>
      <w:r>
        <w:t>CoE</w:t>
      </w:r>
      <w:proofErr w:type="spellEnd"/>
      <w:r>
        <w:t xml:space="preserve"> considers the candidate’s requests for exclusion of potential examiners. Substantiated and reasonable requests for exclusion should be granted.</w:t>
      </w:r>
    </w:p>
    <w:p w14:paraId="6865718A" w14:textId="77777777" w:rsidR="00964C26" w:rsidRDefault="009F0C94" w:rsidP="0030693C">
      <w:pPr>
        <w:pStyle w:val="MPLParagraphlevel1"/>
      </w:pPr>
      <w:r>
        <w:t xml:space="preserve"> The nominations must:</w:t>
      </w:r>
    </w:p>
    <w:p w14:paraId="16C1999F" w14:textId="77777777" w:rsidR="00964C26" w:rsidRDefault="009F0C94" w:rsidP="0030693C">
      <w:pPr>
        <w:pStyle w:val="MPLParagraphlevel2"/>
        <w:rPr>
          <w:rFonts w:eastAsia="Arial"/>
        </w:rPr>
      </w:pPr>
      <w:r>
        <w:rPr>
          <w:rFonts w:eastAsia="Arial"/>
        </w:rPr>
        <w:t>be submitted to the chair of HDRC;</w:t>
      </w:r>
    </w:p>
    <w:p w14:paraId="1C2F1E1D" w14:textId="77777777" w:rsidR="00964C26" w:rsidRDefault="009F0C94" w:rsidP="0030693C">
      <w:pPr>
        <w:pStyle w:val="MPLParagraphlevel2"/>
        <w:rPr>
          <w:rFonts w:eastAsia="Arial"/>
        </w:rPr>
      </w:pPr>
      <w:r>
        <w:rPr>
          <w:rFonts w:eastAsia="Arial"/>
        </w:rPr>
        <w:t>include the name, field of expertise and full contact details of the examiners;</w:t>
      </w:r>
    </w:p>
    <w:p w14:paraId="56A2FE99" w14:textId="77777777" w:rsidR="00964C26" w:rsidRDefault="009F0C94" w:rsidP="0030693C">
      <w:pPr>
        <w:pStyle w:val="MPLParagraphlevel2"/>
        <w:rPr>
          <w:rFonts w:eastAsia="Arial"/>
        </w:rPr>
      </w:pPr>
      <w:r>
        <w:rPr>
          <w:rFonts w:eastAsia="Arial"/>
        </w:rPr>
        <w:t>be accompanied by the curriculum vitae of the examiner if a waiver of the examiner eligibility requirements is being sought;</w:t>
      </w:r>
    </w:p>
    <w:p w14:paraId="460E1909" w14:textId="77777777" w:rsidR="00964C26" w:rsidRDefault="009F0C94" w:rsidP="0030693C">
      <w:pPr>
        <w:pStyle w:val="MPLParagraphlevel2"/>
        <w:rPr>
          <w:rFonts w:eastAsia="Arial"/>
        </w:rPr>
      </w:pPr>
      <w:r>
        <w:rPr>
          <w:rFonts w:eastAsia="Arial"/>
        </w:rPr>
        <w:t>be endorsed by the candidate’s supervisor(s); and</w:t>
      </w:r>
    </w:p>
    <w:p w14:paraId="25E345DD" w14:textId="77777777" w:rsidR="00964C26" w:rsidRDefault="009F0C94" w:rsidP="0030693C">
      <w:pPr>
        <w:pStyle w:val="MPLParagraphlevel2"/>
        <w:rPr>
          <w:rFonts w:eastAsia="Arial"/>
        </w:rPr>
      </w:pPr>
      <w:r>
        <w:rPr>
          <w:rFonts w:eastAsia="Arial"/>
        </w:rPr>
        <w:t>not be disclosed to the candidate or to any other person not involved in the examination.</w:t>
      </w:r>
    </w:p>
    <w:p w14:paraId="1AFBEFBA" w14:textId="77777777" w:rsidR="00964C26" w:rsidRDefault="009F0C94" w:rsidP="0030693C">
      <w:pPr>
        <w:pStyle w:val="MPLParagraphlevel1"/>
      </w:pPr>
      <w:r>
        <w:t>The chair of HDRC may reject nominations that do not meet the requirements for examiners or require further evidence of the suitability of the nominees.</w:t>
      </w:r>
    </w:p>
    <w:p w14:paraId="4E286E23" w14:textId="77777777" w:rsidR="00964C26" w:rsidRDefault="009F0C94" w:rsidP="0030693C">
      <w:pPr>
        <w:pStyle w:val="MPFSubheading"/>
      </w:pPr>
      <w:r>
        <w:t>Appointment of examiners</w:t>
      </w:r>
    </w:p>
    <w:p w14:paraId="00161E11" w14:textId="77777777" w:rsidR="00964C26" w:rsidRDefault="009F0C94" w:rsidP="0030693C">
      <w:pPr>
        <w:pStyle w:val="MPLParagraphlevel1"/>
      </w:pPr>
      <w:r>
        <w:t xml:space="preserve">The Academic Registrar formally invites the examiners to act, </w:t>
      </w:r>
      <w:proofErr w:type="gramStart"/>
      <w:r>
        <w:t>with the exception of</w:t>
      </w:r>
      <w:proofErr w:type="gramEnd"/>
      <w:r>
        <w:t xml:space="preserve"> examiners of music recitals who are appointed by the dean of the relevant faculty.</w:t>
      </w:r>
    </w:p>
    <w:p w14:paraId="6B8C347C" w14:textId="77777777" w:rsidR="00964C26" w:rsidRDefault="009F0C94" w:rsidP="0030693C">
      <w:pPr>
        <w:pStyle w:val="MPLParagraphlevel1"/>
      </w:pPr>
      <w:r>
        <w:t xml:space="preserve"> Any dispute about the appointment of examiners must be referred to the chair of HDRC.</w:t>
      </w:r>
    </w:p>
    <w:p w14:paraId="7CC66FBB" w14:textId="77777777" w:rsidR="00964C26" w:rsidRDefault="009F0C94" w:rsidP="0030693C">
      <w:pPr>
        <w:pStyle w:val="MPFSubheading"/>
      </w:pPr>
      <w:r>
        <w:t>Examination criteria</w:t>
      </w:r>
    </w:p>
    <w:p w14:paraId="63B95C22" w14:textId="77777777" w:rsidR="00964C26" w:rsidRDefault="009F0C94" w:rsidP="0030693C">
      <w:pPr>
        <w:pStyle w:val="MPLParagraphlevel1"/>
      </w:pPr>
      <w:r>
        <w:t>Examiners must consider the thesis or compilation solely on its merits and must consider whether it meets the following criteria:</w:t>
      </w:r>
    </w:p>
    <w:p w14:paraId="5910604A" w14:textId="77777777" w:rsidR="00964C26" w:rsidRDefault="009F0C94" w:rsidP="0030693C">
      <w:pPr>
        <w:pStyle w:val="MPLParagraphlevel2"/>
        <w:rPr>
          <w:rFonts w:eastAsia="Arial"/>
        </w:rPr>
      </w:pPr>
      <w:r>
        <w:rPr>
          <w:rFonts w:eastAsia="Arial"/>
        </w:rPr>
        <w:t>the candidate has demonstrated sufficient familiarity with, and understanding and critical appraisal of, the relevant literature;</w:t>
      </w:r>
    </w:p>
    <w:p w14:paraId="644ACBD9" w14:textId="77777777" w:rsidR="00964C26" w:rsidRDefault="009F0C94" w:rsidP="0030693C">
      <w:pPr>
        <w:pStyle w:val="MPLParagraphlevel2"/>
        <w:rPr>
          <w:rFonts w:eastAsia="Arial"/>
        </w:rPr>
      </w:pPr>
      <w:r>
        <w:rPr>
          <w:rFonts w:eastAsia="Arial"/>
        </w:rPr>
        <w:t>it is a sufficiently comprehensive investigation of the topic;</w:t>
      </w:r>
    </w:p>
    <w:p w14:paraId="247B4349" w14:textId="77777777" w:rsidR="00964C26" w:rsidRDefault="009F0C94" w:rsidP="0030693C">
      <w:pPr>
        <w:pStyle w:val="MPLParagraphlevel2"/>
        <w:rPr>
          <w:rFonts w:eastAsia="Arial"/>
        </w:rPr>
      </w:pPr>
      <w:r>
        <w:rPr>
          <w:rFonts w:eastAsia="Arial"/>
        </w:rPr>
        <w:lastRenderedPageBreak/>
        <w:t>methods and techniques adopted are appropriate, properly justified and applied;</w:t>
      </w:r>
    </w:p>
    <w:p w14:paraId="27D1203D" w14:textId="77777777" w:rsidR="00964C26" w:rsidRDefault="009F0C94" w:rsidP="0030693C">
      <w:pPr>
        <w:pStyle w:val="MPLParagraphlevel2"/>
        <w:rPr>
          <w:rFonts w:eastAsia="Arial"/>
        </w:rPr>
      </w:pPr>
      <w:r>
        <w:rPr>
          <w:rFonts w:eastAsia="Arial"/>
        </w:rPr>
        <w:t>results are suitably set out and accompanied by adequate exposition and interpretation;</w:t>
      </w:r>
    </w:p>
    <w:p w14:paraId="1CCE7A09" w14:textId="77777777" w:rsidR="00964C26" w:rsidRDefault="009F0C94" w:rsidP="0030693C">
      <w:pPr>
        <w:pStyle w:val="MPLParagraphlevel2"/>
        <w:rPr>
          <w:rFonts w:eastAsia="Arial"/>
        </w:rPr>
      </w:pPr>
      <w:r>
        <w:rPr>
          <w:rFonts w:eastAsia="Arial"/>
        </w:rPr>
        <w:t>conclusions and implications are appropriately developed and clearly linked to the nature and content of the research framework and findings;</w:t>
      </w:r>
    </w:p>
    <w:p w14:paraId="382C75C0" w14:textId="77777777" w:rsidR="00964C26" w:rsidRDefault="009F0C94" w:rsidP="0030693C">
      <w:pPr>
        <w:pStyle w:val="MPLParagraphlevel2"/>
        <w:rPr>
          <w:rFonts w:eastAsia="Arial"/>
        </w:rPr>
      </w:pPr>
      <w:r>
        <w:rPr>
          <w:rFonts w:eastAsia="Arial"/>
        </w:rPr>
        <w:t>research questions have been tested or explored according to disciplinary norms;</w:t>
      </w:r>
    </w:p>
    <w:p w14:paraId="1CAE0F5C" w14:textId="77777777" w:rsidR="00964C26" w:rsidRDefault="009F0C94" w:rsidP="0030693C">
      <w:pPr>
        <w:pStyle w:val="MPLParagraphlevel2"/>
        <w:rPr>
          <w:rFonts w:eastAsia="Arial"/>
        </w:rPr>
      </w:pPr>
      <w:r>
        <w:rPr>
          <w:rFonts w:eastAsia="Arial"/>
        </w:rPr>
        <w:t>literary quality and general presentation of the thesis is of an appropriate high standard; and</w:t>
      </w:r>
    </w:p>
    <w:p w14:paraId="5C8FF045" w14:textId="77777777" w:rsidR="00964C26" w:rsidRDefault="009F0C94" w:rsidP="0030693C">
      <w:pPr>
        <w:pStyle w:val="MPLParagraphlevel2"/>
        <w:rPr>
          <w:rFonts w:eastAsia="Arial"/>
        </w:rPr>
      </w:pPr>
      <w:r>
        <w:rPr>
          <w:rFonts w:eastAsia="Arial"/>
        </w:rPr>
        <w:t xml:space="preserve">the thesis or compilation </w:t>
      </w:r>
      <w:proofErr w:type="gramStart"/>
      <w:r>
        <w:rPr>
          <w:rFonts w:eastAsia="Arial"/>
        </w:rPr>
        <w:t>as a whole constitutes</w:t>
      </w:r>
      <w:proofErr w:type="gramEnd"/>
      <w:r>
        <w:rPr>
          <w:rFonts w:eastAsia="Arial"/>
        </w:rPr>
        <w:t xml:space="preserve"> an original contribution to knowledge in its subject area.</w:t>
      </w:r>
    </w:p>
    <w:p w14:paraId="19017B95" w14:textId="77777777" w:rsidR="00964C26" w:rsidRDefault="009F0C94" w:rsidP="0030693C">
      <w:pPr>
        <w:pStyle w:val="MPLParagraphlevel1"/>
      </w:pPr>
      <w:r>
        <w:t>For theses containing creative works or compilations containing creative works, the examiners must also consider whether they meet the following criteria:</w:t>
      </w:r>
    </w:p>
    <w:p w14:paraId="68EEC7E9" w14:textId="77777777" w:rsidR="00964C26" w:rsidRDefault="009F0C94" w:rsidP="0030693C">
      <w:pPr>
        <w:pStyle w:val="MPLParagraphlevel2"/>
        <w:rPr>
          <w:rFonts w:eastAsia="Arial"/>
        </w:rPr>
      </w:pPr>
      <w:r>
        <w:rPr>
          <w:rFonts w:eastAsia="Arial"/>
        </w:rPr>
        <w:t>demonstration of a professional level of familiarity with and understanding of contemporary work in the field;</w:t>
      </w:r>
    </w:p>
    <w:p w14:paraId="2B782C1C" w14:textId="77777777" w:rsidR="00964C26" w:rsidRDefault="009F0C94" w:rsidP="0030693C">
      <w:pPr>
        <w:pStyle w:val="MPLParagraphlevel2"/>
        <w:rPr>
          <w:rFonts w:eastAsia="Arial"/>
        </w:rPr>
      </w:pPr>
      <w:r>
        <w:rPr>
          <w:rFonts w:eastAsia="Arial"/>
        </w:rPr>
        <w:t>demonstration of a sufficiently comprehensive investigation of the artistic form and creative content;</w:t>
      </w:r>
    </w:p>
    <w:p w14:paraId="3C40E851" w14:textId="77777777" w:rsidR="00964C26" w:rsidRDefault="009F0C94" w:rsidP="0030693C">
      <w:pPr>
        <w:pStyle w:val="MPLParagraphlevel2"/>
        <w:rPr>
          <w:rFonts w:eastAsia="Arial"/>
        </w:rPr>
      </w:pPr>
      <w:r>
        <w:rPr>
          <w:rFonts w:eastAsia="Arial"/>
        </w:rPr>
        <w:t>the methods and techniques applied in the execution of the work are appropriate to the subject matter and are original and/or aesthetically effective;</w:t>
      </w:r>
    </w:p>
    <w:p w14:paraId="211D4378" w14:textId="77777777" w:rsidR="00964C26" w:rsidRDefault="009F0C94" w:rsidP="0030693C">
      <w:pPr>
        <w:pStyle w:val="MPLParagraphlevel2"/>
        <w:rPr>
          <w:rFonts w:eastAsia="Arial"/>
        </w:rPr>
      </w:pPr>
      <w:r>
        <w:rPr>
          <w:rFonts w:eastAsia="Arial"/>
        </w:rPr>
        <w:t>it is presented in a sufficiently professional manner;</w:t>
      </w:r>
    </w:p>
    <w:p w14:paraId="7AB2167A" w14:textId="77777777" w:rsidR="00964C26" w:rsidRDefault="009F0C94" w:rsidP="0030693C">
      <w:pPr>
        <w:pStyle w:val="MPLParagraphlevel2"/>
        <w:rPr>
          <w:rFonts w:eastAsia="Arial"/>
        </w:rPr>
      </w:pPr>
      <w:r>
        <w:rPr>
          <w:rFonts w:eastAsia="Arial"/>
        </w:rPr>
        <w:t>demonstration of a sufficiently high standard of literary, visual, digital, musical or performance literacy and quality;</w:t>
      </w:r>
    </w:p>
    <w:p w14:paraId="1D1535E4" w14:textId="77777777" w:rsidR="00964C26" w:rsidRDefault="009F0C94" w:rsidP="0030693C">
      <w:pPr>
        <w:pStyle w:val="MPLParagraphlevel2"/>
        <w:rPr>
          <w:rFonts w:eastAsia="Arial"/>
        </w:rPr>
      </w:pPr>
      <w:r>
        <w:rPr>
          <w:rFonts w:eastAsia="Arial"/>
        </w:rPr>
        <w:t>the research questions have been identified and tested through the creative work;</w:t>
      </w:r>
    </w:p>
    <w:p w14:paraId="51C13123" w14:textId="77777777" w:rsidR="00964C26" w:rsidRDefault="009F0C94" w:rsidP="0030693C">
      <w:pPr>
        <w:pStyle w:val="MPLParagraphlevel2"/>
        <w:rPr>
          <w:rFonts w:eastAsia="Arial"/>
        </w:rPr>
      </w:pPr>
      <w:r>
        <w:rPr>
          <w:rFonts w:eastAsia="Arial"/>
        </w:rPr>
        <w:t>documentation of the work, (including catalogue/program material where appropriate) is sufficiently thorough and is of a standard that ensures the work provides a reference for subsequent researchers;</w:t>
      </w:r>
    </w:p>
    <w:p w14:paraId="7B86E63A" w14:textId="77777777" w:rsidR="00964C26" w:rsidRDefault="009F0C94" w:rsidP="0030693C">
      <w:pPr>
        <w:pStyle w:val="MPLParagraphlevel2"/>
        <w:rPr>
          <w:rFonts w:eastAsia="Arial"/>
        </w:rPr>
      </w:pPr>
      <w:r>
        <w:rPr>
          <w:rFonts w:eastAsia="Arial"/>
        </w:rPr>
        <w:t>the creative work and the dissertation together constitute a substantive original contribution to knowledge in the subject area; and,</w:t>
      </w:r>
    </w:p>
    <w:p w14:paraId="013B2919" w14:textId="77777777" w:rsidR="00964C26" w:rsidRDefault="009F0C94" w:rsidP="0030693C">
      <w:pPr>
        <w:pStyle w:val="MPLParagraphlevel2"/>
        <w:rPr>
          <w:rFonts w:eastAsia="Arial"/>
        </w:rPr>
      </w:pPr>
      <w:r>
        <w:rPr>
          <w:rFonts w:eastAsia="Arial"/>
        </w:rPr>
        <w:t>the interface between the creative work and the dissertation is appropriate and substantiated.</w:t>
      </w:r>
    </w:p>
    <w:p w14:paraId="1CE25913" w14:textId="77777777" w:rsidR="00964C26" w:rsidRDefault="009F0C94" w:rsidP="0030693C">
      <w:pPr>
        <w:pStyle w:val="MPFSubheading"/>
      </w:pPr>
      <w:r>
        <w:t>Examination of the thesis or compilation</w:t>
      </w:r>
    </w:p>
    <w:p w14:paraId="327FE14E" w14:textId="0A4B27E4" w:rsidR="00964C26" w:rsidRDefault="009F0C94" w:rsidP="0030693C">
      <w:pPr>
        <w:pStyle w:val="MPLParagraphlevel1"/>
      </w:pPr>
      <w:r>
        <w:t>Each examiner independently examines the thesis against the criteria and makes a report in writing, containing a recommended result of:</w:t>
      </w:r>
    </w:p>
    <w:p w14:paraId="6EF33809" w14:textId="77777777" w:rsidR="00964C26" w:rsidRDefault="009F0C94" w:rsidP="0030693C">
      <w:pPr>
        <w:pStyle w:val="MPLParagraphlevel2"/>
        <w:rPr>
          <w:rFonts w:eastAsia="Arial"/>
        </w:rPr>
      </w:pPr>
      <w:r>
        <w:rPr>
          <w:rFonts w:eastAsia="Arial"/>
        </w:rPr>
        <w:t>pass;</w:t>
      </w:r>
    </w:p>
    <w:p w14:paraId="03B9B526" w14:textId="77777777" w:rsidR="00964C26" w:rsidRDefault="009F0C94" w:rsidP="0030693C">
      <w:pPr>
        <w:pStyle w:val="MPLParagraphlevel2"/>
        <w:rPr>
          <w:rFonts w:eastAsia="Arial"/>
        </w:rPr>
      </w:pPr>
      <w:r>
        <w:rPr>
          <w:rFonts w:eastAsia="Arial"/>
        </w:rPr>
        <w:t>pass with revision;</w:t>
      </w:r>
    </w:p>
    <w:p w14:paraId="06671A4C" w14:textId="77777777" w:rsidR="00964C26" w:rsidRDefault="009F0C94" w:rsidP="0030693C">
      <w:pPr>
        <w:pStyle w:val="MPLParagraphlevel2"/>
        <w:rPr>
          <w:rFonts w:eastAsia="Arial"/>
        </w:rPr>
      </w:pPr>
      <w:r>
        <w:rPr>
          <w:rFonts w:eastAsia="Arial"/>
        </w:rPr>
        <w:t>revise, resubmit, and regrade; or</w:t>
      </w:r>
    </w:p>
    <w:p w14:paraId="3C687E85" w14:textId="77777777" w:rsidR="00964C26" w:rsidRDefault="009F0C94" w:rsidP="0030693C">
      <w:pPr>
        <w:pStyle w:val="MPLParagraphlevel2"/>
        <w:rPr>
          <w:rFonts w:eastAsia="Arial"/>
        </w:rPr>
      </w:pPr>
      <w:r>
        <w:rPr>
          <w:rFonts w:eastAsia="Arial"/>
        </w:rPr>
        <w:t>fail.</w:t>
      </w:r>
    </w:p>
    <w:p w14:paraId="0FCA94E7" w14:textId="77777777" w:rsidR="00964C26" w:rsidRDefault="009F0C94" w:rsidP="0030693C">
      <w:pPr>
        <w:pStyle w:val="MPLParagraphlevel1"/>
      </w:pPr>
      <w:r>
        <w:t>An examiner may request that a candidate:</w:t>
      </w:r>
    </w:p>
    <w:p w14:paraId="69BF1A90" w14:textId="77777777" w:rsidR="00964C26" w:rsidRDefault="009F0C94" w:rsidP="0030693C">
      <w:pPr>
        <w:pStyle w:val="MPLParagraphlevel2"/>
        <w:rPr>
          <w:rFonts w:eastAsia="Arial"/>
        </w:rPr>
      </w:pPr>
      <w:r>
        <w:rPr>
          <w:rFonts w:eastAsia="Arial"/>
        </w:rPr>
        <w:t>make changes to or clarify any part of the thesis;</w:t>
      </w:r>
    </w:p>
    <w:p w14:paraId="636AEC70" w14:textId="77777777" w:rsidR="00964C26" w:rsidRDefault="009F0C94" w:rsidP="0030693C">
      <w:pPr>
        <w:pStyle w:val="MPLParagraphlevel2"/>
        <w:rPr>
          <w:rFonts w:eastAsia="Arial"/>
        </w:rPr>
      </w:pPr>
      <w:r>
        <w:rPr>
          <w:rFonts w:eastAsia="Arial"/>
        </w:rPr>
        <w:t>provide written answers to questions about the thesis or work;</w:t>
      </w:r>
    </w:p>
    <w:p w14:paraId="17FD74A2" w14:textId="77777777" w:rsidR="00964C26" w:rsidRDefault="009F0C94" w:rsidP="0030693C">
      <w:pPr>
        <w:pStyle w:val="MPLParagraphlevel2"/>
        <w:rPr>
          <w:rFonts w:eastAsia="Arial"/>
        </w:rPr>
      </w:pPr>
      <w:r>
        <w:rPr>
          <w:rFonts w:eastAsia="Arial"/>
        </w:rPr>
        <w:t>re-presents or re-documents creative works if they do not meet the examination criteria; or</w:t>
      </w:r>
    </w:p>
    <w:p w14:paraId="71702C90" w14:textId="77777777" w:rsidR="00964C26" w:rsidRDefault="009F0C94" w:rsidP="0030693C">
      <w:pPr>
        <w:pStyle w:val="MPLParagraphlevel2"/>
        <w:rPr>
          <w:rFonts w:eastAsia="Arial"/>
        </w:rPr>
      </w:pPr>
      <w:r>
        <w:rPr>
          <w:rFonts w:eastAsia="Arial"/>
        </w:rPr>
        <w:t>in exceptional circumstances, undertake an oral examination.</w:t>
      </w:r>
    </w:p>
    <w:p w14:paraId="776A759D" w14:textId="77777777" w:rsidR="00964C26" w:rsidRDefault="009F0C94" w:rsidP="0030693C">
      <w:pPr>
        <w:pStyle w:val="MPLParagraphlevel1"/>
      </w:pPr>
      <w:r>
        <w:lastRenderedPageBreak/>
        <w:t>Each examiner independently examines the compilation against the criteria and makes a report in writing, containing a recommended result of:</w:t>
      </w:r>
    </w:p>
    <w:p w14:paraId="4A2EF80D" w14:textId="77777777" w:rsidR="00964C26" w:rsidRDefault="009F0C94" w:rsidP="0030693C">
      <w:pPr>
        <w:pStyle w:val="MPLParagraphlevel2"/>
        <w:rPr>
          <w:rFonts w:eastAsia="Arial"/>
        </w:rPr>
      </w:pPr>
      <w:r>
        <w:rPr>
          <w:rFonts w:eastAsia="Arial"/>
        </w:rPr>
        <w:t>pass;</w:t>
      </w:r>
    </w:p>
    <w:p w14:paraId="06EEF9D8" w14:textId="77777777" w:rsidR="00964C26" w:rsidRDefault="009F0C94" w:rsidP="0030693C">
      <w:pPr>
        <w:pStyle w:val="MPLParagraphlevel2"/>
        <w:rPr>
          <w:rFonts w:eastAsia="Arial"/>
        </w:rPr>
      </w:pPr>
      <w:r>
        <w:rPr>
          <w:rFonts w:eastAsia="Arial"/>
        </w:rPr>
        <w:t>pass with revision; or</w:t>
      </w:r>
    </w:p>
    <w:p w14:paraId="18F39542" w14:textId="77777777" w:rsidR="00964C26" w:rsidRDefault="009F0C94" w:rsidP="0030693C">
      <w:pPr>
        <w:pStyle w:val="MPLParagraphlevel2"/>
        <w:rPr>
          <w:rFonts w:eastAsia="Arial"/>
        </w:rPr>
      </w:pPr>
      <w:r>
        <w:rPr>
          <w:rFonts w:eastAsia="Arial"/>
        </w:rPr>
        <w:t>fail.</w:t>
      </w:r>
    </w:p>
    <w:p w14:paraId="53B1CAE2" w14:textId="77777777" w:rsidR="00964C26" w:rsidRDefault="009F0C94" w:rsidP="0030693C">
      <w:pPr>
        <w:pStyle w:val="MPLParagraphlevel1"/>
      </w:pPr>
      <w:r>
        <w:t xml:space="preserve">Examiners of all </w:t>
      </w:r>
      <w:proofErr w:type="spellStart"/>
      <w:proofErr w:type="gramStart"/>
      <w:r>
        <w:t>Masters</w:t>
      </w:r>
      <w:proofErr w:type="spellEnd"/>
      <w:r>
        <w:t xml:space="preserve"> Degree</w:t>
      </w:r>
      <w:proofErr w:type="gramEnd"/>
      <w:r>
        <w:t xml:space="preserve"> (Research) must also award a numeric mark out of 100, in accordance with the grading scale at section 5.103 - 5.108.</w:t>
      </w:r>
    </w:p>
    <w:p w14:paraId="66C12BFF" w14:textId="77777777" w:rsidR="00964C26" w:rsidRDefault="009F0C94" w:rsidP="0030693C">
      <w:pPr>
        <w:pStyle w:val="MPLParagraphlevel1"/>
      </w:pPr>
      <w:r>
        <w:t>If an examiner fails to return a completed report within 12 weeks of dispatch of the materials for examination, they may be replaced, and a new examiner appointed.</w:t>
      </w:r>
    </w:p>
    <w:p w14:paraId="1BC1C50F" w14:textId="77777777" w:rsidR="00964C26" w:rsidRDefault="009F0C94" w:rsidP="0030693C">
      <w:pPr>
        <w:pStyle w:val="MPLParagraphlevel1"/>
      </w:pPr>
      <w:r>
        <w:t>Where a replacement examiner has been appointed, any report subsequently received from the examiner who has been replaced is not considered.</w:t>
      </w:r>
    </w:p>
    <w:p w14:paraId="73B187BE" w14:textId="77777777" w:rsidR="00964C26" w:rsidRDefault="009F0C94" w:rsidP="0030693C">
      <w:pPr>
        <w:pStyle w:val="MPFSubheading"/>
      </w:pPr>
      <w:r>
        <w:t>Examination of a performance or exhibition of creative works</w:t>
      </w:r>
    </w:p>
    <w:p w14:paraId="7CB1862C" w14:textId="77777777" w:rsidR="00964C26" w:rsidRDefault="009F0C94" w:rsidP="0030693C">
      <w:pPr>
        <w:pStyle w:val="MPLParagraphlevel1"/>
      </w:pPr>
      <w:r>
        <w:t xml:space="preserve">The </w:t>
      </w:r>
      <w:proofErr w:type="spellStart"/>
      <w:r>
        <w:t>CoE</w:t>
      </w:r>
      <w:proofErr w:type="spellEnd"/>
      <w:r>
        <w:t xml:space="preserve"> and at least two further examiners must attend either a private or public performance or exhibition of the creative work.</w:t>
      </w:r>
    </w:p>
    <w:p w14:paraId="41753374" w14:textId="77777777" w:rsidR="00964C26" w:rsidRDefault="009F0C94" w:rsidP="0030693C">
      <w:pPr>
        <w:pStyle w:val="MPLParagraphlevel1"/>
      </w:pPr>
      <w:r>
        <w:t xml:space="preserve">If the performance or exhibition is held prior to submission of the thesis, the candidate must submit an extended abstract of the thesis no less than one week prior to the performance or exhibition. The extended abstract should be between 1000 – 3000 words for a Doctoral Degree (Research), and 500- 1500 words for a </w:t>
      </w:r>
      <w:proofErr w:type="gramStart"/>
      <w:r>
        <w:t>Master Degree</w:t>
      </w:r>
      <w:proofErr w:type="gramEnd"/>
      <w:r>
        <w:t xml:space="preserve"> (Research).</w:t>
      </w:r>
    </w:p>
    <w:p w14:paraId="4843D184" w14:textId="77777777" w:rsidR="00964C26" w:rsidRDefault="009F0C94" w:rsidP="0030693C">
      <w:pPr>
        <w:pStyle w:val="MPLParagraphlevel1"/>
      </w:pPr>
      <w:r>
        <w:t xml:space="preserve">The </w:t>
      </w:r>
      <w:proofErr w:type="spellStart"/>
      <w:r>
        <w:t>CoE</w:t>
      </w:r>
      <w:proofErr w:type="spellEnd"/>
      <w:r>
        <w:t xml:space="preserve"> must schedule and select the venue of a private performance or exhibition, to maintain the confidentiality of the examination.</w:t>
      </w:r>
    </w:p>
    <w:p w14:paraId="6CC98FC4" w14:textId="77777777" w:rsidR="00964C26" w:rsidRDefault="009F0C94" w:rsidP="0030693C">
      <w:pPr>
        <w:pStyle w:val="MPLParagraphlevel1"/>
      </w:pPr>
      <w:r>
        <w:t xml:space="preserve">The </w:t>
      </w:r>
      <w:proofErr w:type="spellStart"/>
      <w:r>
        <w:t>CoE</w:t>
      </w:r>
      <w:proofErr w:type="spellEnd"/>
      <w:r>
        <w:t xml:space="preserve"> may recommend that the examiners attend a public performance or exhibition at different times to maintain confidentiality.</w:t>
      </w:r>
    </w:p>
    <w:p w14:paraId="0B9D31BD" w14:textId="77777777" w:rsidR="00964C26" w:rsidRDefault="009F0C94" w:rsidP="0030693C">
      <w:pPr>
        <w:pStyle w:val="MPLParagraphlevel1"/>
      </w:pPr>
      <w:r>
        <w:t xml:space="preserve">If the public performance or exhibition involves audience participation or interaction with the candidate, the </w:t>
      </w:r>
      <w:proofErr w:type="spellStart"/>
      <w:r>
        <w:t>CoE</w:t>
      </w:r>
      <w:proofErr w:type="spellEnd"/>
      <w:r>
        <w:t xml:space="preserve"> must ensure the candidate cannot inappropriately influence the examiners’ assessment of the creative work.</w:t>
      </w:r>
    </w:p>
    <w:p w14:paraId="2889E9EA" w14:textId="77777777" w:rsidR="00964C26" w:rsidRDefault="009F0C94" w:rsidP="0030693C">
      <w:pPr>
        <w:pStyle w:val="MPLParagraphlevel1"/>
      </w:pPr>
      <w:r>
        <w:t xml:space="preserve">Where the examination is primarily by performance of a music recital, the </w:t>
      </w:r>
      <w:proofErr w:type="spellStart"/>
      <w:r>
        <w:t>CoE</w:t>
      </w:r>
      <w:proofErr w:type="spellEnd"/>
      <w:r>
        <w:t xml:space="preserve">, after considering the examiners' comments, may order a re-presentation of nominated sections of the recital program where a </w:t>
      </w:r>
      <w:proofErr w:type="gramStart"/>
      <w:r>
        <w:t>fail</w:t>
      </w:r>
      <w:proofErr w:type="gramEnd"/>
      <w:r>
        <w:t xml:space="preserve"> result would otherwise have been the outcome. In these </w:t>
      </w:r>
      <w:proofErr w:type="gramStart"/>
      <w:r>
        <w:t>cases</w:t>
      </w:r>
      <w:proofErr w:type="gramEnd"/>
      <w:r>
        <w:t xml:space="preserve"> the recital is private.</w:t>
      </w:r>
    </w:p>
    <w:p w14:paraId="4DDF9012" w14:textId="77777777" w:rsidR="00964C26" w:rsidRDefault="009F0C94" w:rsidP="0030693C">
      <w:pPr>
        <w:pStyle w:val="MPLParagraphlevel1"/>
      </w:pPr>
      <w:r>
        <w:t>The thesis must be submitted within six months of the public performance or exhibition and no later than the maximum course duration.</w:t>
      </w:r>
    </w:p>
    <w:p w14:paraId="14A6E91E" w14:textId="77777777" w:rsidR="00964C26" w:rsidRDefault="009F0C94" w:rsidP="0030693C">
      <w:pPr>
        <w:pStyle w:val="MPLParagraphlevel1"/>
      </w:pPr>
      <w:r>
        <w:t>A durable record of the performance or exhibition must be submitted within six weeks of submission of the thesis for examination.</w:t>
      </w:r>
    </w:p>
    <w:p w14:paraId="6249F0EC" w14:textId="77777777" w:rsidR="00964C26" w:rsidRDefault="009F0C94" w:rsidP="0030693C">
      <w:pPr>
        <w:pStyle w:val="MPLParagraphlevel1"/>
      </w:pPr>
      <w:r>
        <w:t>The creative work and dissertation must be examined as an integrated whole in accordance with the examination criteria.</w:t>
      </w:r>
    </w:p>
    <w:p w14:paraId="7A3B93F6" w14:textId="77777777" w:rsidR="00964C26" w:rsidRDefault="009F0C94" w:rsidP="0030693C">
      <w:pPr>
        <w:pStyle w:val="MPFSubheading"/>
      </w:pPr>
      <w:r>
        <w:t>Oral examination</w:t>
      </w:r>
    </w:p>
    <w:p w14:paraId="5AA8459E" w14:textId="77777777" w:rsidR="00964C26" w:rsidRDefault="009F0C94" w:rsidP="0030693C">
      <w:pPr>
        <w:pStyle w:val="MPLParagraphlevel1"/>
      </w:pPr>
      <w:r>
        <w:t>An oral examination may be held:</w:t>
      </w:r>
    </w:p>
    <w:p w14:paraId="0483A4FB" w14:textId="77777777" w:rsidR="00964C26" w:rsidRDefault="009F0C94" w:rsidP="0030693C">
      <w:pPr>
        <w:pStyle w:val="MPLParagraphlevel2"/>
        <w:rPr>
          <w:rFonts w:eastAsia="Arial"/>
        </w:rPr>
      </w:pPr>
      <w:r>
        <w:rPr>
          <w:rFonts w:eastAsia="Arial"/>
        </w:rPr>
        <w:lastRenderedPageBreak/>
        <w:t>if it is a requirement of a jointly awarded degree; or,</w:t>
      </w:r>
    </w:p>
    <w:p w14:paraId="495CD7D9" w14:textId="77777777" w:rsidR="00964C26" w:rsidRDefault="009F0C94" w:rsidP="0030693C">
      <w:pPr>
        <w:pStyle w:val="MPLParagraphlevel2"/>
        <w:rPr>
          <w:rFonts w:eastAsia="Arial"/>
        </w:rPr>
      </w:pPr>
      <w:r>
        <w:rPr>
          <w:rFonts w:eastAsia="Arial"/>
        </w:rPr>
        <w:t>in exceptional circumstances at the request of the examiners.</w:t>
      </w:r>
    </w:p>
    <w:p w14:paraId="09D16F2F" w14:textId="77777777" w:rsidR="00964C26" w:rsidRDefault="009F0C94" w:rsidP="0030693C">
      <w:pPr>
        <w:pStyle w:val="MPLParagraphlevel1"/>
      </w:pPr>
      <w:r>
        <w:t>The oral examination is conducted as described in accordance with this policy unless otherwise agreed by the University of Melbourne and the partner institution for a jointly awarded degree.</w:t>
      </w:r>
    </w:p>
    <w:p w14:paraId="42A31F43" w14:textId="77777777" w:rsidR="00964C26" w:rsidRDefault="009F0C94" w:rsidP="0030693C">
      <w:pPr>
        <w:pStyle w:val="MPLParagraphlevel1"/>
      </w:pPr>
      <w:r>
        <w:t>Only one oral examination is conducted.</w:t>
      </w:r>
    </w:p>
    <w:p w14:paraId="06F3283B" w14:textId="77777777" w:rsidR="00964C26" w:rsidRDefault="009F0C94" w:rsidP="0030693C">
      <w:pPr>
        <w:pStyle w:val="MPLParagraphlevel1"/>
      </w:pPr>
      <w:r>
        <w:t>The candidate and the examiners are provided with copies of the examiners’ reports prior to the oral examination.</w:t>
      </w:r>
    </w:p>
    <w:p w14:paraId="395B1F93" w14:textId="77777777" w:rsidR="00964C26" w:rsidRDefault="009F0C94" w:rsidP="0030693C">
      <w:pPr>
        <w:pStyle w:val="MPLParagraphlevel1"/>
      </w:pPr>
      <w:r>
        <w:t xml:space="preserve">The </w:t>
      </w:r>
      <w:proofErr w:type="spellStart"/>
      <w:r>
        <w:t>CoE</w:t>
      </w:r>
      <w:proofErr w:type="spellEnd"/>
      <w:r>
        <w:t xml:space="preserve"> arranges the oral examination and acts as chair of the oral examination panel.</w:t>
      </w:r>
    </w:p>
    <w:p w14:paraId="77D71075" w14:textId="77777777" w:rsidR="00964C26" w:rsidRDefault="009F0C94" w:rsidP="0030693C">
      <w:pPr>
        <w:pStyle w:val="MPLParagraphlevel1"/>
      </w:pPr>
      <w:r>
        <w:t>The oral examination may only be held after all examiners have submitted their initial report.</w:t>
      </w:r>
    </w:p>
    <w:p w14:paraId="109F5257" w14:textId="77777777" w:rsidR="00964C26" w:rsidRDefault="009F0C94" w:rsidP="0030693C">
      <w:pPr>
        <w:pStyle w:val="MPLParagraphlevel1"/>
      </w:pPr>
      <w:r>
        <w:t>If the original examiners differ widely in their assessment and a third examiner is required, the report of the third examiner must be received prior to the oral.</w:t>
      </w:r>
    </w:p>
    <w:p w14:paraId="4B269491" w14:textId="77777777" w:rsidR="00964C26" w:rsidRDefault="009F0C94" w:rsidP="0030693C">
      <w:pPr>
        <w:pStyle w:val="MPLParagraphlevel1"/>
      </w:pPr>
      <w:r>
        <w:t>The examination panel for the oral examination must be all examiners of the thesis.</w:t>
      </w:r>
    </w:p>
    <w:p w14:paraId="221E6B06" w14:textId="77777777" w:rsidR="00964C26" w:rsidRDefault="009F0C94" w:rsidP="0030693C">
      <w:pPr>
        <w:pStyle w:val="MPLParagraphlevel1"/>
      </w:pPr>
      <w:r>
        <w:t>A candidate’s supervisors may attend the oral examination, but do not participate in the decision of the examination panel.</w:t>
      </w:r>
    </w:p>
    <w:p w14:paraId="03FC91AF" w14:textId="77777777" w:rsidR="00964C26" w:rsidRDefault="009F0C94" w:rsidP="0030693C">
      <w:pPr>
        <w:pStyle w:val="MPLParagraphlevel1"/>
      </w:pPr>
      <w:r>
        <w:t xml:space="preserve">Subject to the agreement governing a jointly awarded degree, if the language of the partner institutions of a jointly awarded degree is different, the candidate must present their thesis defence in one of the languages of the </w:t>
      </w:r>
      <w:proofErr w:type="gramStart"/>
      <w:r>
        <w:t>institutions, and</w:t>
      </w:r>
      <w:proofErr w:type="gramEnd"/>
      <w:r>
        <w:t xml:space="preserve"> may be required to present an oral summary of the defence in the other language.</w:t>
      </w:r>
    </w:p>
    <w:p w14:paraId="0B6DAB83" w14:textId="77777777" w:rsidR="00964C26" w:rsidRDefault="009F0C94" w:rsidP="0030693C">
      <w:pPr>
        <w:pStyle w:val="MPLParagraphlevel1"/>
      </w:pPr>
      <w:r>
        <w:t>At the conclusion of the oral examination, the examiners may recommend a decision of:</w:t>
      </w:r>
    </w:p>
    <w:p w14:paraId="09597844" w14:textId="77777777" w:rsidR="00964C26" w:rsidRDefault="009F0C94" w:rsidP="0030693C">
      <w:pPr>
        <w:pStyle w:val="MPLParagraphlevel2"/>
        <w:rPr>
          <w:rFonts w:eastAsia="Arial"/>
        </w:rPr>
      </w:pPr>
      <w:r>
        <w:rPr>
          <w:rFonts w:eastAsia="Arial"/>
        </w:rPr>
        <w:t>pass;</w:t>
      </w:r>
    </w:p>
    <w:p w14:paraId="48677A9B" w14:textId="77777777" w:rsidR="00964C26" w:rsidRDefault="009F0C94" w:rsidP="0030693C">
      <w:pPr>
        <w:pStyle w:val="MPLParagraphlevel2"/>
        <w:rPr>
          <w:rFonts w:eastAsia="Arial"/>
        </w:rPr>
      </w:pPr>
      <w:r>
        <w:rPr>
          <w:rFonts w:eastAsia="Arial"/>
        </w:rPr>
        <w:t>pass with revision;</w:t>
      </w:r>
    </w:p>
    <w:p w14:paraId="44D76519" w14:textId="77777777" w:rsidR="00964C26" w:rsidRDefault="009F0C94" w:rsidP="0030693C">
      <w:pPr>
        <w:pStyle w:val="MPLParagraphlevel2"/>
        <w:rPr>
          <w:rFonts w:eastAsia="Arial"/>
        </w:rPr>
      </w:pPr>
      <w:r>
        <w:rPr>
          <w:rFonts w:eastAsia="Arial"/>
        </w:rPr>
        <w:t>revise, resubmit, and regrade; or;</w:t>
      </w:r>
    </w:p>
    <w:p w14:paraId="164E534A" w14:textId="77777777" w:rsidR="00964C26" w:rsidRDefault="009F0C94" w:rsidP="0030693C">
      <w:pPr>
        <w:pStyle w:val="MPLParagraphlevel2"/>
        <w:rPr>
          <w:rFonts w:eastAsia="Arial"/>
        </w:rPr>
      </w:pPr>
      <w:r>
        <w:rPr>
          <w:rFonts w:eastAsia="Arial"/>
        </w:rPr>
        <w:t>fail.</w:t>
      </w:r>
    </w:p>
    <w:p w14:paraId="55DE043D" w14:textId="77777777" w:rsidR="00964C26" w:rsidRDefault="009F0C94" w:rsidP="0030693C">
      <w:pPr>
        <w:pStyle w:val="MPLParagraphlevel1"/>
      </w:pPr>
      <w:r>
        <w:t>At the conclusion of the examination, the candidate is told the result of the examination and any amendments required to the thesis.</w:t>
      </w:r>
    </w:p>
    <w:p w14:paraId="41558781" w14:textId="77777777" w:rsidR="00964C26" w:rsidRDefault="009F0C94" w:rsidP="0030693C">
      <w:pPr>
        <w:pStyle w:val="MPFSubheading"/>
      </w:pPr>
      <w:r>
        <w:t>Examination Result</w:t>
      </w:r>
    </w:p>
    <w:p w14:paraId="093C368F" w14:textId="77777777" w:rsidR="00964C26" w:rsidRDefault="009F0C94" w:rsidP="0030693C">
      <w:pPr>
        <w:pStyle w:val="MPLParagraphlevel1"/>
      </w:pPr>
      <w:r>
        <w:t xml:space="preserve">The </w:t>
      </w:r>
      <w:proofErr w:type="spellStart"/>
      <w:r>
        <w:t>CoE</w:t>
      </w:r>
      <w:proofErr w:type="spellEnd"/>
      <w:r>
        <w:t xml:space="preserve"> reviews the examiners’ reports and consults with the candidate’s principal supervisor about the examiners’ comments, to ensure there is no inappropriate commentary.</w:t>
      </w:r>
    </w:p>
    <w:p w14:paraId="6605C57E" w14:textId="77777777" w:rsidR="00964C26" w:rsidRDefault="009F0C94" w:rsidP="0030693C">
      <w:pPr>
        <w:pStyle w:val="MPFSubheading"/>
        <w:rPr>
          <w:rFonts w:eastAsia="Arial"/>
        </w:rPr>
      </w:pPr>
      <w:r>
        <w:rPr>
          <w:rFonts w:eastAsia="Arial"/>
        </w:rPr>
        <w:t>Examination Result Rules</w:t>
      </w:r>
    </w:p>
    <w:p w14:paraId="06765FCC" w14:textId="77777777" w:rsidR="00964C26" w:rsidRDefault="009F0C94" w:rsidP="0030693C">
      <w:pPr>
        <w:pStyle w:val="MPLParagraphlevel1"/>
      </w:pPr>
      <w:r>
        <w:t xml:space="preserve">The </w:t>
      </w:r>
      <w:proofErr w:type="spellStart"/>
      <w:r>
        <w:t>CoE</w:t>
      </w:r>
      <w:proofErr w:type="spellEnd"/>
      <w:r>
        <w:t> determines the overall result of the examination according to the following rules:</w:t>
      </w:r>
    </w:p>
    <w:p w14:paraId="0645D39A" w14:textId="77777777" w:rsidR="00964C26" w:rsidRDefault="009F0C94" w:rsidP="0030693C">
      <w:pPr>
        <w:pStyle w:val="MPLParagraphlevel2"/>
        <w:rPr>
          <w:rFonts w:eastAsia="Arial"/>
        </w:rPr>
      </w:pPr>
      <w:r>
        <w:rPr>
          <w:rFonts w:eastAsia="Arial"/>
        </w:rPr>
        <w:t xml:space="preserve">If both examiners select 1 (Pass), 2 (Pass with revision, </w:t>
      </w:r>
      <w:proofErr w:type="spellStart"/>
      <w:r>
        <w:rPr>
          <w:rFonts w:eastAsia="Arial"/>
        </w:rPr>
        <w:t>CoE</w:t>
      </w:r>
      <w:proofErr w:type="spellEnd"/>
      <w:r>
        <w:rPr>
          <w:rFonts w:eastAsia="Arial"/>
        </w:rPr>
        <w:t xml:space="preserve">) or 4 (Fail) - and their results concur - the candidate is passed or failed accordingly. Revisions required if both examiners selected 2 (Pass with Revision, </w:t>
      </w:r>
      <w:proofErr w:type="spellStart"/>
      <w:r>
        <w:rPr>
          <w:rFonts w:eastAsia="Arial"/>
        </w:rPr>
        <w:t>CoE</w:t>
      </w:r>
      <w:proofErr w:type="spellEnd"/>
      <w:r>
        <w:rPr>
          <w:rFonts w:eastAsia="Arial"/>
        </w:rPr>
        <w:t>) are undertaken as described below and checked by the Chair of Examiners.</w:t>
      </w:r>
    </w:p>
    <w:p w14:paraId="3FD38127" w14:textId="77777777" w:rsidR="00964C26" w:rsidRDefault="009F0C94" w:rsidP="0030693C">
      <w:pPr>
        <w:pStyle w:val="MPLParagraphlevel2"/>
        <w:rPr>
          <w:rFonts w:eastAsia="Arial"/>
        </w:rPr>
      </w:pPr>
      <w:r>
        <w:rPr>
          <w:rFonts w:eastAsia="Arial"/>
        </w:rPr>
        <w:lastRenderedPageBreak/>
        <w:t xml:space="preserve">If one examiner recommends a 4 (Fail), a third examiner is appointed. If the third examiner recommends a 1,2 or 3, the report of the examiner who selected fail is not sent to the candidate, and the examination proceeds as demanded by the results of the two remaining examiners. If one subsequently recommends a </w:t>
      </w:r>
      <w:proofErr w:type="gramStart"/>
      <w:r>
        <w:rPr>
          <w:rFonts w:eastAsia="Arial"/>
        </w:rPr>
        <w:t>fail</w:t>
      </w:r>
      <w:proofErr w:type="gramEnd"/>
      <w:r>
        <w:rPr>
          <w:rFonts w:eastAsia="Arial"/>
        </w:rPr>
        <w:t>, the thesis is failed.</w:t>
      </w:r>
    </w:p>
    <w:p w14:paraId="300E9693" w14:textId="77777777" w:rsidR="00964C26" w:rsidRDefault="009F0C94" w:rsidP="0030693C">
      <w:pPr>
        <w:pStyle w:val="MPLParagraphlevel2"/>
        <w:rPr>
          <w:rFonts w:eastAsia="Arial"/>
        </w:rPr>
      </w:pPr>
      <w:r>
        <w:rPr>
          <w:rFonts w:eastAsia="Arial"/>
        </w:rPr>
        <w:t>If one or both of the first two examiners recommends a 3 (Revise, resubmit and regrade), a third examiner is appointed in accordance with 5.121. The first two reports are not provided to the candidate until the third examiner’s report is available.</w:t>
      </w:r>
    </w:p>
    <w:p w14:paraId="3AB36456" w14:textId="77777777" w:rsidR="00964C26" w:rsidRDefault="009F0C94" w:rsidP="0030693C">
      <w:pPr>
        <w:pStyle w:val="MPLParagraphlevel2"/>
        <w:rPr>
          <w:rFonts w:eastAsia="Arial"/>
        </w:rPr>
      </w:pPr>
      <w:r>
        <w:rPr>
          <w:rFonts w:eastAsia="Arial"/>
        </w:rPr>
        <w:t>Each examiner undertakes the examination individually. The candidate revises the thesis according to each examiner’s demands to produce a single document. The candidate must enumerate the changes made in a single written response to both or all three examination reports. The revised thesis and the whole of the candidate’s response are provided to each person responsible for verifying the respective changes (</w:t>
      </w:r>
      <w:proofErr w:type="spellStart"/>
      <w:r>
        <w:rPr>
          <w:rFonts w:eastAsia="Arial"/>
        </w:rPr>
        <w:t>CoE</w:t>
      </w:r>
      <w:proofErr w:type="spellEnd"/>
      <w:r>
        <w:rPr>
          <w:rFonts w:eastAsia="Arial"/>
        </w:rPr>
        <w:t xml:space="preserve"> in the case of outcome 2, the examiner in the case of outcome 3). No examiner is provided with the examination report of the other examiner(s). Examiners who originally recommended 1,2 or 4, are never sent the revised thesis.</w:t>
      </w:r>
    </w:p>
    <w:p w14:paraId="0F1D1668" w14:textId="77777777" w:rsidR="00964C26" w:rsidRDefault="009F0C94" w:rsidP="0030693C">
      <w:pPr>
        <w:pStyle w:val="MPLParagraphlevel2"/>
        <w:rPr>
          <w:rFonts w:eastAsia="Arial"/>
        </w:rPr>
      </w:pPr>
      <w:r>
        <w:rPr>
          <w:rFonts w:eastAsia="Arial"/>
        </w:rPr>
        <w:t>Any examiner who selects 3, can choose only 1, 2 or 4 upon.</w:t>
      </w:r>
    </w:p>
    <w:p w14:paraId="69F13B1E" w14:textId="77777777" w:rsidR="00964C26" w:rsidRDefault="009F0C94" w:rsidP="0030693C">
      <w:pPr>
        <w:pStyle w:val="MPLParagraphlevel2"/>
        <w:rPr>
          <w:rFonts w:eastAsia="Arial"/>
        </w:rPr>
      </w:pPr>
      <w:r>
        <w:rPr>
          <w:rFonts w:eastAsia="Arial"/>
        </w:rPr>
        <w:t xml:space="preserve">If there is conflicting advice or clashes in requested changes to the thesis, these will be mediated by the </w:t>
      </w:r>
      <w:proofErr w:type="spellStart"/>
      <w:r>
        <w:rPr>
          <w:rFonts w:eastAsia="Arial"/>
        </w:rPr>
        <w:t>CoE</w:t>
      </w:r>
      <w:proofErr w:type="spellEnd"/>
      <w:r>
        <w:rPr>
          <w:rFonts w:eastAsia="Arial"/>
        </w:rPr>
        <w:t>.</w:t>
      </w:r>
    </w:p>
    <w:p w14:paraId="6675D599" w14:textId="77777777" w:rsidR="00964C26" w:rsidRDefault="009F0C94" w:rsidP="0030693C">
      <w:pPr>
        <w:pStyle w:val="MPLParagraphlevel2"/>
        <w:rPr>
          <w:rFonts w:eastAsia="Arial"/>
        </w:rPr>
      </w:pPr>
      <w:r>
        <w:rPr>
          <w:rFonts w:eastAsia="Arial"/>
        </w:rPr>
        <w:t xml:space="preserve">When the </w:t>
      </w:r>
      <w:proofErr w:type="spellStart"/>
      <w:r>
        <w:rPr>
          <w:rFonts w:eastAsia="Arial"/>
        </w:rPr>
        <w:t>CoE</w:t>
      </w:r>
      <w:proofErr w:type="spellEnd"/>
      <w:r>
        <w:rPr>
          <w:rFonts w:eastAsia="Arial"/>
        </w:rPr>
        <w:t xml:space="preserve"> is verifying whether the required revisions have been made, they may consult with the examiner, or other content expert.</w:t>
      </w:r>
    </w:p>
    <w:p w14:paraId="51903768" w14:textId="77777777" w:rsidR="00964C26" w:rsidRDefault="009F0C94" w:rsidP="0030693C">
      <w:pPr>
        <w:pStyle w:val="MPLParagraphlevel2"/>
        <w:rPr>
          <w:rFonts w:eastAsia="Arial"/>
        </w:rPr>
      </w:pPr>
      <w:r>
        <w:rPr>
          <w:rFonts w:eastAsia="Arial"/>
        </w:rPr>
        <w:t xml:space="preserve">In the case of a recommendation to Pass a thesis with revisions to be verified by the </w:t>
      </w:r>
      <w:proofErr w:type="spellStart"/>
      <w:r>
        <w:rPr>
          <w:rFonts w:eastAsia="Arial"/>
        </w:rPr>
        <w:t>CoE</w:t>
      </w:r>
      <w:proofErr w:type="spellEnd"/>
      <w:r>
        <w:rPr>
          <w:rFonts w:eastAsia="Arial"/>
        </w:rPr>
        <w:t xml:space="preserve">, if in the view of the </w:t>
      </w:r>
      <w:proofErr w:type="spellStart"/>
      <w:r>
        <w:rPr>
          <w:rFonts w:eastAsia="Arial"/>
        </w:rPr>
        <w:t>CoE</w:t>
      </w:r>
      <w:proofErr w:type="spellEnd"/>
      <w:r>
        <w:rPr>
          <w:rFonts w:eastAsia="Arial"/>
        </w:rPr>
        <w:t xml:space="preserve">, no reasonable attempt has been made to address the revisions, the </w:t>
      </w:r>
      <w:proofErr w:type="spellStart"/>
      <w:r>
        <w:rPr>
          <w:rFonts w:eastAsia="Arial"/>
        </w:rPr>
        <w:t>CoE</w:t>
      </w:r>
      <w:proofErr w:type="spellEnd"/>
      <w:r>
        <w:rPr>
          <w:rFonts w:eastAsia="Arial"/>
        </w:rPr>
        <w:t xml:space="preserve"> in consultation with the chair of HDRC, can enter a ‘fail’ result.</w:t>
      </w:r>
    </w:p>
    <w:p w14:paraId="24AA6F0B" w14:textId="77777777" w:rsidR="00964C26" w:rsidRDefault="009F0C94" w:rsidP="0030693C">
      <w:pPr>
        <w:pStyle w:val="MPFSubheading"/>
        <w:rPr>
          <w:rFonts w:eastAsia="Arial"/>
        </w:rPr>
      </w:pPr>
      <w:r>
        <w:rPr>
          <w:rFonts w:eastAsia="Arial"/>
        </w:rPr>
        <w:t>Possible Results from each Examiner: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1616"/>
        <w:gridCol w:w="6521"/>
      </w:tblGrid>
      <w:tr w:rsidR="00964C26" w14:paraId="7C10F0AF" w14:textId="77777777">
        <w:trPr>
          <w:tblCellSpacing w:w="15" w:type="dxa"/>
        </w:trPr>
        <w:tc>
          <w:tcPr>
            <w:tcW w:w="465" w:type="dxa"/>
            <w:tcBorders>
              <w:top w:val="single" w:sz="4" w:space="0" w:color="000000"/>
              <w:left w:val="single" w:sz="4" w:space="0" w:color="000000"/>
              <w:bottom w:val="single" w:sz="4" w:space="0" w:color="000000"/>
              <w:right w:val="single" w:sz="4" w:space="0" w:color="000000"/>
            </w:tcBorders>
            <w:vAlign w:val="center"/>
          </w:tcPr>
          <w:p w14:paraId="3972BF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2350E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6765" w:type="dxa"/>
            <w:tcBorders>
              <w:top w:val="single" w:sz="4" w:space="0" w:color="000000"/>
              <w:left w:val="single" w:sz="4" w:space="0" w:color="000000"/>
              <w:bottom w:val="single" w:sz="4" w:space="0" w:color="000000"/>
              <w:right w:val="single" w:sz="4" w:space="0" w:color="000000"/>
            </w:tcBorders>
            <w:vAlign w:val="center"/>
          </w:tcPr>
          <w:p w14:paraId="487104A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No changes required; or only minor edits required, such as typographical errors, formatting issues or other corrections that have no bearing on the quality of the overall argument.</w:t>
            </w:r>
          </w:p>
          <w:p w14:paraId="32CCF6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Chair of Examiners verifies the edits have been addressed.</w:t>
            </w:r>
          </w:p>
        </w:tc>
      </w:tr>
      <w:tr w:rsidR="00964C26" w14:paraId="7FEA02E4"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30EE632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w:t>
            </w:r>
          </w:p>
        </w:tc>
        <w:tc>
          <w:tcPr>
            <w:tcW w:w="1620" w:type="dxa"/>
            <w:tcBorders>
              <w:top w:val="single" w:sz="2" w:space="0" w:color="000000"/>
              <w:left w:val="single" w:sz="2" w:space="0" w:color="000000"/>
              <w:bottom w:val="single" w:sz="2" w:space="0" w:color="000000"/>
              <w:right w:val="single" w:sz="2" w:space="0" w:color="000000"/>
            </w:tcBorders>
            <w:vAlign w:val="center"/>
          </w:tcPr>
          <w:p w14:paraId="445FD46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 (Chair of</w:t>
            </w:r>
          </w:p>
          <w:p w14:paraId="2B64FE9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Examiners)</w:t>
            </w:r>
          </w:p>
        </w:tc>
        <w:tc>
          <w:tcPr>
            <w:tcW w:w="6765" w:type="dxa"/>
            <w:tcBorders>
              <w:top w:val="single" w:sz="2" w:space="0" w:color="000000"/>
              <w:left w:val="single" w:sz="2" w:space="0" w:color="000000"/>
              <w:bottom w:val="single" w:sz="2" w:space="0" w:color="000000"/>
              <w:right w:val="single" w:sz="2" w:space="0" w:color="000000"/>
            </w:tcBorders>
            <w:vAlign w:val="center"/>
          </w:tcPr>
          <w:p w14:paraId="5C889C8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Minor revisions to content are required. In this case, Examiners must provide an enumerated list and explanation of each required revision. These revisions will be reviewed and verified by the Chair of Examiners who may consult the Examiner to verify the changes.</w:t>
            </w:r>
          </w:p>
        </w:tc>
      </w:tr>
      <w:tr w:rsidR="00964C26" w14:paraId="15D14B2F"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4F7DDD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w:t>
            </w:r>
          </w:p>
        </w:tc>
        <w:tc>
          <w:tcPr>
            <w:tcW w:w="1620" w:type="dxa"/>
            <w:tcBorders>
              <w:top w:val="single" w:sz="2" w:space="0" w:color="000000"/>
              <w:left w:val="single" w:sz="2" w:space="0" w:color="000000"/>
              <w:bottom w:val="single" w:sz="2" w:space="0" w:color="000000"/>
              <w:right w:val="single" w:sz="2" w:space="0" w:color="000000"/>
            </w:tcBorders>
            <w:vAlign w:val="center"/>
          </w:tcPr>
          <w:p w14:paraId="2AB442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 resubmit and regrade (Examiner)</w:t>
            </w:r>
          </w:p>
        </w:tc>
        <w:tc>
          <w:tcPr>
            <w:tcW w:w="6765" w:type="dxa"/>
            <w:tcBorders>
              <w:top w:val="single" w:sz="2" w:space="0" w:color="000000"/>
              <w:left w:val="single" w:sz="2" w:space="0" w:color="000000"/>
              <w:bottom w:val="single" w:sz="2" w:space="0" w:color="000000"/>
              <w:right w:val="single" w:sz="2" w:space="0" w:color="000000"/>
            </w:tcBorders>
            <w:vAlign w:val="center"/>
          </w:tcPr>
          <w:p w14:paraId="6057728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Serious shortcomings in the content of the thesis are present but can be resolved with major revision. Examiners must provide an enumerated list and explanation of the required changes. The revised thesis is returned to the Examiner to consider, and the Examiner regrades the thesis accordingly. A thesis submitted for regrading may only be awarded a result of 1, 2 or 4.</w:t>
            </w:r>
          </w:p>
        </w:tc>
      </w:tr>
      <w:tr w:rsidR="00964C26" w14:paraId="5A2556BF"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193E0F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w:t>
            </w:r>
          </w:p>
        </w:tc>
        <w:tc>
          <w:tcPr>
            <w:tcW w:w="1620" w:type="dxa"/>
            <w:tcBorders>
              <w:top w:val="single" w:sz="2" w:space="0" w:color="000000"/>
              <w:left w:val="single" w:sz="2" w:space="0" w:color="000000"/>
              <w:bottom w:val="single" w:sz="2" w:space="0" w:color="000000"/>
              <w:right w:val="single" w:sz="2" w:space="0" w:color="000000"/>
            </w:tcBorders>
            <w:vAlign w:val="center"/>
          </w:tcPr>
          <w:p w14:paraId="7CD29DC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c>
          <w:tcPr>
            <w:tcW w:w="6765" w:type="dxa"/>
            <w:tcBorders>
              <w:top w:val="single" w:sz="2" w:space="0" w:color="000000"/>
              <w:left w:val="single" w:sz="2" w:space="0" w:color="000000"/>
              <w:bottom w:val="single" w:sz="2" w:space="0" w:color="000000"/>
              <w:right w:val="single" w:sz="2" w:space="0" w:color="000000"/>
            </w:tcBorders>
            <w:vAlign w:val="center"/>
          </w:tcPr>
          <w:p w14:paraId="36FB1A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The thesis has serious irredeemable flaws and is not of a standard to be awarded the degree. In some circumstances, the Examiners may recommend the award of an </w:t>
            </w:r>
            <w:proofErr w:type="spellStart"/>
            <w:r w:rsidRPr="0030693C">
              <w:rPr>
                <w:rFonts w:ascii="Source Sans Pro" w:eastAsia="Arial" w:hAnsi="Source Sans Pro" w:cs="Arial"/>
                <w:color w:val="000000"/>
                <w:sz w:val="20"/>
                <w:szCs w:val="20"/>
              </w:rPr>
              <w:t>M.Phil</w:t>
            </w:r>
            <w:proofErr w:type="spellEnd"/>
            <w:r w:rsidRPr="0030693C">
              <w:rPr>
                <w:rFonts w:ascii="Source Sans Pro" w:eastAsia="Arial" w:hAnsi="Source Sans Pro" w:cs="Arial"/>
                <w:color w:val="000000"/>
                <w:sz w:val="20"/>
                <w:szCs w:val="20"/>
              </w:rPr>
              <w:t xml:space="preserve"> degree instead.</w:t>
            </w:r>
          </w:p>
        </w:tc>
      </w:tr>
    </w:tbl>
    <w:p w14:paraId="657DCE87" w14:textId="77777777" w:rsidR="00964C26" w:rsidRDefault="009F0C94" w:rsidP="0030693C">
      <w:pPr>
        <w:pStyle w:val="MPFSubheading"/>
        <w:rPr>
          <w:rFonts w:eastAsia="Arial"/>
        </w:rPr>
      </w:pPr>
      <w:r>
        <w:rPr>
          <w:rFonts w:eastAsia="Arial"/>
        </w:rPr>
        <w:lastRenderedPageBreak/>
        <w:t>Explanatory Table 1 - First Two Examiners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8"/>
        <w:gridCol w:w="1494"/>
        <w:gridCol w:w="2196"/>
        <w:gridCol w:w="1728"/>
        <w:gridCol w:w="1438"/>
      </w:tblGrid>
      <w:tr w:rsidR="00964C26" w14:paraId="26B91B07"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2668F586"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1</w:t>
            </w:r>
          </w:p>
          <w:p w14:paraId="239FDF6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p>
          <w:p w14:paraId="474A8EC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2</w:t>
            </w:r>
          </w:p>
        </w:tc>
        <w:tc>
          <w:tcPr>
            <w:tcW w:w="837" w:type="pct"/>
            <w:tcBorders>
              <w:top w:val="single" w:sz="2" w:space="0" w:color="000000"/>
              <w:left w:val="single" w:sz="2" w:space="0" w:color="000000"/>
              <w:bottom w:val="single" w:sz="2" w:space="0" w:color="000000"/>
              <w:right w:val="single" w:sz="2" w:space="0" w:color="000000"/>
            </w:tcBorders>
            <w:vAlign w:val="center"/>
          </w:tcPr>
          <w:p w14:paraId="1254DEC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w:t>
            </w:r>
          </w:p>
        </w:tc>
        <w:tc>
          <w:tcPr>
            <w:tcW w:w="1238" w:type="pct"/>
            <w:tcBorders>
              <w:top w:val="single" w:sz="2" w:space="0" w:color="000000"/>
              <w:left w:val="single" w:sz="2" w:space="0" w:color="000000"/>
              <w:bottom w:val="single" w:sz="2" w:space="0" w:color="000000"/>
              <w:right w:val="single" w:sz="2" w:space="0" w:color="000000"/>
            </w:tcBorders>
            <w:vAlign w:val="center"/>
          </w:tcPr>
          <w:p w14:paraId="5CF4759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 [PR]</w:t>
            </w:r>
          </w:p>
        </w:tc>
        <w:tc>
          <w:tcPr>
            <w:tcW w:w="971" w:type="pct"/>
            <w:tcBorders>
              <w:top w:val="single" w:sz="2" w:space="0" w:color="000000"/>
              <w:left w:val="single" w:sz="2" w:space="0" w:color="000000"/>
              <w:bottom w:val="single" w:sz="2" w:space="0" w:color="000000"/>
              <w:right w:val="single" w:sz="2" w:space="0" w:color="000000"/>
            </w:tcBorders>
            <w:vAlign w:val="center"/>
          </w:tcPr>
          <w:p w14:paraId="29507CF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Revise, resubmit and regrade (examiner) [RRR]</w:t>
            </w:r>
          </w:p>
        </w:tc>
        <w:tc>
          <w:tcPr>
            <w:tcW w:w="797" w:type="pct"/>
            <w:tcBorders>
              <w:top w:val="single" w:sz="2" w:space="0" w:color="000000"/>
              <w:left w:val="single" w:sz="2" w:space="0" w:color="000000"/>
              <w:bottom w:val="single" w:sz="2" w:space="0" w:color="000000"/>
              <w:right w:val="single" w:sz="2" w:space="0" w:color="000000"/>
            </w:tcBorders>
            <w:vAlign w:val="center"/>
          </w:tcPr>
          <w:p w14:paraId="0FD62E4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r>
      <w:tr w:rsidR="00964C26" w14:paraId="1E96705E"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264EA3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w:t>
            </w:r>
          </w:p>
        </w:tc>
        <w:tc>
          <w:tcPr>
            <w:tcW w:w="837" w:type="pct"/>
            <w:tcBorders>
              <w:top w:val="single" w:sz="2" w:space="0" w:color="000000"/>
              <w:left w:val="single" w:sz="2" w:space="0" w:color="000000"/>
              <w:bottom w:val="single" w:sz="2" w:space="0" w:color="000000"/>
              <w:right w:val="single" w:sz="2" w:space="0" w:color="000000"/>
            </w:tcBorders>
            <w:vAlign w:val="center"/>
          </w:tcPr>
          <w:p w14:paraId="31F0A0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1238" w:type="pct"/>
            <w:tcBorders>
              <w:top w:val="single" w:sz="2" w:space="0" w:color="000000"/>
              <w:left w:val="single" w:sz="2" w:space="0" w:color="000000"/>
              <w:bottom w:val="single" w:sz="2" w:space="0" w:color="000000"/>
              <w:right w:val="single" w:sz="2" w:space="0" w:color="000000"/>
            </w:tcBorders>
            <w:vAlign w:val="center"/>
          </w:tcPr>
          <w:p w14:paraId="774B866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)[Revised thesis is final version.]</w:t>
            </w:r>
          </w:p>
        </w:tc>
        <w:tc>
          <w:tcPr>
            <w:tcW w:w="971" w:type="pct"/>
            <w:tcBorders>
              <w:top w:val="single" w:sz="2" w:space="0" w:color="000000"/>
              <w:left w:val="single" w:sz="2" w:space="0" w:color="000000"/>
              <w:bottom w:val="single" w:sz="2" w:space="0" w:color="000000"/>
              <w:right w:val="single" w:sz="2" w:space="0" w:color="000000"/>
            </w:tcBorders>
            <w:vAlign w:val="center"/>
          </w:tcPr>
          <w:p w14:paraId="277007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0FCBF5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52B7B61F"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0C618E7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Revisions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)[PR]</w:t>
            </w:r>
          </w:p>
        </w:tc>
        <w:tc>
          <w:tcPr>
            <w:tcW w:w="837" w:type="pct"/>
            <w:tcBorders>
              <w:top w:val="single" w:sz="2" w:space="0" w:color="000000"/>
              <w:left w:val="single" w:sz="2" w:space="0" w:color="000000"/>
              <w:bottom w:val="single" w:sz="2" w:space="0" w:color="000000"/>
              <w:right w:val="single" w:sz="2" w:space="0" w:color="000000"/>
            </w:tcBorders>
            <w:vAlign w:val="center"/>
          </w:tcPr>
          <w:p w14:paraId="15A2DCD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tc>
        <w:tc>
          <w:tcPr>
            <w:tcW w:w="1238" w:type="pct"/>
            <w:tcBorders>
              <w:top w:val="single" w:sz="2" w:space="0" w:color="000000"/>
              <w:left w:val="single" w:sz="2" w:space="0" w:color="000000"/>
              <w:bottom w:val="single" w:sz="2" w:space="0" w:color="000000"/>
              <w:right w:val="single" w:sz="2" w:space="0" w:color="000000"/>
            </w:tcBorders>
            <w:vAlign w:val="center"/>
          </w:tcPr>
          <w:p w14:paraId="23FF29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tc>
        <w:tc>
          <w:tcPr>
            <w:tcW w:w="971" w:type="pct"/>
            <w:tcBorders>
              <w:top w:val="single" w:sz="2" w:space="0" w:color="000000"/>
              <w:left w:val="single" w:sz="2" w:space="0" w:color="000000"/>
              <w:bottom w:val="single" w:sz="2" w:space="0" w:color="000000"/>
              <w:right w:val="single" w:sz="2" w:space="0" w:color="000000"/>
            </w:tcBorders>
            <w:vAlign w:val="center"/>
          </w:tcPr>
          <w:p w14:paraId="0ED8B4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2A81DAE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31C01B5F"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6CD293C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Revise, Resubmit and Regrade</w:t>
            </w:r>
          </w:p>
          <w:p w14:paraId="657D502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[RRR]</w:t>
            </w:r>
          </w:p>
        </w:tc>
        <w:tc>
          <w:tcPr>
            <w:tcW w:w="837" w:type="pct"/>
            <w:tcBorders>
              <w:top w:val="single" w:sz="2" w:space="0" w:color="000000"/>
              <w:left w:val="single" w:sz="2" w:space="0" w:color="000000"/>
              <w:bottom w:val="single" w:sz="2" w:space="0" w:color="000000"/>
              <w:right w:val="single" w:sz="2" w:space="0" w:color="000000"/>
            </w:tcBorders>
            <w:vAlign w:val="center"/>
          </w:tcPr>
          <w:p w14:paraId="1378CE0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1238" w:type="pct"/>
            <w:tcBorders>
              <w:top w:val="none" w:sz="0" w:space="0" w:color="000000"/>
              <w:left w:val="none" w:sz="0" w:space="0" w:color="000000"/>
              <w:bottom w:val="none" w:sz="0" w:space="0" w:color="000000"/>
              <w:right w:val="none" w:sz="0" w:space="0" w:color="000000"/>
            </w:tcBorders>
            <w:vAlign w:val="center"/>
          </w:tcPr>
          <w:p w14:paraId="1C8383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971" w:type="pct"/>
            <w:tcBorders>
              <w:top w:val="single" w:sz="2" w:space="0" w:color="000000"/>
              <w:left w:val="single" w:sz="2" w:space="0" w:color="000000"/>
              <w:bottom w:val="single" w:sz="2" w:space="0" w:color="000000"/>
              <w:right w:val="single" w:sz="2" w:space="0" w:color="000000"/>
            </w:tcBorders>
            <w:vAlign w:val="center"/>
          </w:tcPr>
          <w:p w14:paraId="7C6088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1E72B6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1AC52BC2"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31E6D9E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c>
          <w:tcPr>
            <w:tcW w:w="837" w:type="pct"/>
            <w:tcBorders>
              <w:top w:val="single" w:sz="2" w:space="0" w:color="000000"/>
              <w:left w:val="single" w:sz="2" w:space="0" w:color="000000"/>
              <w:bottom w:val="single" w:sz="2" w:space="0" w:color="000000"/>
              <w:right w:val="single" w:sz="2" w:space="0" w:color="000000"/>
            </w:tcBorders>
            <w:vAlign w:val="center"/>
          </w:tcPr>
          <w:p w14:paraId="0041B32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w:t>
            </w:r>
          </w:p>
        </w:tc>
        <w:tc>
          <w:tcPr>
            <w:tcW w:w="1238" w:type="pct"/>
            <w:tcBorders>
              <w:top w:val="single" w:sz="2" w:space="0" w:color="000000"/>
              <w:left w:val="single" w:sz="2" w:space="0" w:color="000000"/>
              <w:bottom w:val="single" w:sz="2" w:space="0" w:color="000000"/>
              <w:right w:val="single" w:sz="2" w:space="0" w:color="000000"/>
            </w:tcBorders>
            <w:vAlign w:val="center"/>
          </w:tcPr>
          <w:p w14:paraId="7382C94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971" w:type="pct"/>
            <w:tcBorders>
              <w:top w:val="single" w:sz="2" w:space="0" w:color="000000"/>
              <w:left w:val="single" w:sz="2" w:space="0" w:color="000000"/>
              <w:bottom w:val="single" w:sz="2" w:space="0" w:color="000000"/>
              <w:right w:val="single" w:sz="2" w:space="0" w:color="000000"/>
            </w:tcBorders>
            <w:vAlign w:val="center"/>
          </w:tcPr>
          <w:p w14:paraId="7B70175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163C1A2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r>
    </w:tbl>
    <w:p w14:paraId="192C6B2D" w14:textId="77777777" w:rsidR="00964C26" w:rsidRDefault="009F0C94" w:rsidP="0030693C">
      <w:pPr>
        <w:pStyle w:val="MPFSubheading"/>
        <w:rPr>
          <w:rFonts w:eastAsia="Arial"/>
        </w:rPr>
      </w:pPr>
      <w:r>
        <w:rPr>
          <w:rFonts w:eastAsia="Arial"/>
        </w:rPr>
        <w:t>Third Examiner</w:t>
      </w:r>
    </w:p>
    <w:p w14:paraId="58184B94" w14:textId="77777777" w:rsidR="00964C26" w:rsidRDefault="009F0C94" w:rsidP="0030693C">
      <w:pPr>
        <w:pStyle w:val="MPLParagraphlevel1"/>
      </w:pPr>
      <w:r>
        <w:t>If either Examiner One or Two recommends either a Fail (option 4), or a Revise, Resubmit and Regrade [RRR] (option 3) a Third Examiner is appointed. The Third examiner is sent the original thesis. The candidate is not advised of any outcomes until the Third report is received.</w:t>
      </w:r>
    </w:p>
    <w:p w14:paraId="37184961" w14:textId="77777777" w:rsidR="00964C26" w:rsidRDefault="009F0C94" w:rsidP="0030693C">
      <w:pPr>
        <w:pStyle w:val="MPLParagraphlevel1"/>
      </w:pPr>
      <w:r>
        <w:t>The Third Examiner examines the thesis independently and is not given the original examination reports, nor advised that they are a Third examiner.</w:t>
      </w:r>
    </w:p>
    <w:p w14:paraId="39C3D532" w14:textId="77777777" w:rsidR="00964C26" w:rsidRDefault="009F0C94" w:rsidP="0030693C">
      <w:pPr>
        <w:pStyle w:val="MPLParagraphlevel1"/>
      </w:pPr>
      <w:r>
        <w:t>The final result of the examination is determined in accordance with the majority recommendation of the examiners.</w:t>
      </w:r>
    </w:p>
    <w:p w14:paraId="28D6B988" w14:textId="77777777" w:rsidR="00964C26" w:rsidRDefault="009F0C94" w:rsidP="0030693C">
      <w:pPr>
        <w:pStyle w:val="MPFSubheading"/>
        <w:rPr>
          <w:rFonts w:eastAsia="Arial"/>
        </w:rPr>
      </w:pPr>
      <w:r>
        <w:rPr>
          <w:rFonts w:eastAsia="Arial"/>
        </w:rPr>
        <w:t xml:space="preserve">Explanatory Table 2 - If a Third Examiner is </w:t>
      </w:r>
      <w:proofErr w:type="gramStart"/>
      <w:r>
        <w:rPr>
          <w:rFonts w:eastAsia="Arial"/>
        </w:rPr>
        <w:t>appointed</w:t>
      </w:r>
      <w:proofErr w:type="gramEnd"/>
    </w:p>
    <w:tbl>
      <w:tblPr>
        <w:tblW w:w="5088" w:type="pct"/>
        <w:tblCellSpacing w:w="15" w:type="dxa"/>
        <w:tblCellMar>
          <w:top w:w="15" w:type="dxa"/>
          <w:left w:w="15" w:type="dxa"/>
          <w:bottom w:w="15" w:type="dxa"/>
          <w:right w:w="15" w:type="dxa"/>
        </w:tblCellMar>
        <w:tblLook w:val="04A0" w:firstRow="1" w:lastRow="0" w:firstColumn="1" w:lastColumn="0" w:noHBand="0" w:noVBand="1"/>
      </w:tblPr>
      <w:tblGrid>
        <w:gridCol w:w="1037"/>
        <w:gridCol w:w="850"/>
        <w:gridCol w:w="745"/>
        <w:gridCol w:w="1147"/>
        <w:gridCol w:w="446"/>
        <w:gridCol w:w="1445"/>
        <w:gridCol w:w="151"/>
        <w:gridCol w:w="1174"/>
        <w:gridCol w:w="1791"/>
      </w:tblGrid>
      <w:tr w:rsidR="00964C26" w14:paraId="41874AA6" w14:textId="77777777" w:rsidTr="0030693C">
        <w:trPr>
          <w:tblCellSpacing w:w="15" w:type="dxa"/>
        </w:trPr>
        <w:tc>
          <w:tcPr>
            <w:tcW w:w="1046" w:type="pct"/>
            <w:gridSpan w:val="2"/>
            <w:tcBorders>
              <w:top w:val="single" w:sz="2" w:space="0" w:color="000000"/>
              <w:left w:val="single" w:sz="2" w:space="0" w:color="000000"/>
              <w:bottom w:val="single" w:sz="2" w:space="0" w:color="000000"/>
              <w:right w:val="single" w:sz="2" w:space="0" w:color="000000"/>
            </w:tcBorders>
            <w:vAlign w:val="center"/>
          </w:tcPr>
          <w:p w14:paraId="50984C2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Examiners 1 and 2</w:t>
            </w:r>
          </w:p>
          <w:p w14:paraId="7DAD70E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p>
          <w:p w14:paraId="01D0D2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3</w:t>
            </w:r>
          </w:p>
        </w:tc>
        <w:tc>
          <w:tcPr>
            <w:tcW w:w="1056" w:type="pct"/>
            <w:gridSpan w:val="2"/>
            <w:tcBorders>
              <w:top w:val="single" w:sz="2" w:space="0" w:color="000000"/>
              <w:left w:val="single" w:sz="2" w:space="0" w:color="000000"/>
              <w:bottom w:val="single" w:sz="2" w:space="0" w:color="000000"/>
              <w:right w:val="single" w:sz="2" w:space="0" w:color="000000"/>
            </w:tcBorders>
            <w:vAlign w:val="center"/>
          </w:tcPr>
          <w:p w14:paraId="4316A32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[P] + Revise, Resubmit and Regrade [RRR]</w:t>
            </w:r>
          </w:p>
          <w:p w14:paraId="567EAB2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1 + 3</w:t>
            </w:r>
          </w:p>
        </w:tc>
        <w:tc>
          <w:tcPr>
            <w:tcW w:w="1057" w:type="pct"/>
            <w:gridSpan w:val="2"/>
            <w:tcBorders>
              <w:top w:val="single" w:sz="2" w:space="0" w:color="000000"/>
              <w:left w:val="single" w:sz="2" w:space="0" w:color="000000"/>
              <w:bottom w:val="single" w:sz="2" w:space="0" w:color="000000"/>
              <w:right w:val="single" w:sz="2" w:space="0" w:color="000000"/>
            </w:tcBorders>
            <w:vAlign w:val="center"/>
          </w:tcPr>
          <w:p w14:paraId="5478AB5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Revisions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 [PR]+ [RRR] (2 +3)</w:t>
            </w:r>
          </w:p>
        </w:tc>
        <w:tc>
          <w:tcPr>
            <w:tcW w:w="730" w:type="pct"/>
            <w:gridSpan w:val="2"/>
            <w:tcBorders>
              <w:top w:val="single" w:sz="2" w:space="0" w:color="000000"/>
              <w:left w:val="single" w:sz="2" w:space="0" w:color="000000"/>
              <w:bottom w:val="single" w:sz="2" w:space="0" w:color="000000"/>
              <w:right w:val="single" w:sz="2" w:space="0" w:color="000000"/>
            </w:tcBorders>
            <w:vAlign w:val="center"/>
          </w:tcPr>
          <w:p w14:paraId="34512C7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RRR+ RRR 3+3</w:t>
            </w:r>
          </w:p>
        </w:tc>
        <w:tc>
          <w:tcPr>
            <w:tcW w:w="1008" w:type="pct"/>
            <w:tcBorders>
              <w:top w:val="single" w:sz="2" w:space="0" w:color="000000"/>
              <w:left w:val="single" w:sz="2" w:space="0" w:color="000000"/>
              <w:bottom w:val="single" w:sz="2" w:space="0" w:color="000000"/>
              <w:right w:val="single" w:sz="2" w:space="0" w:color="000000"/>
            </w:tcBorders>
            <w:vAlign w:val="center"/>
          </w:tcPr>
          <w:p w14:paraId="2923127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P/PR/RRR + Fail</w:t>
            </w:r>
          </w:p>
        </w:tc>
      </w:tr>
      <w:tr w:rsidR="00964C26" w14:paraId="3D1E1E40"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7E4794B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[P]</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1B2175E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6DB583D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678F0C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75D0CC6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two examiners – recommendation can be P, PR, F.</w:t>
            </w:r>
          </w:p>
          <w:p w14:paraId="663EDF7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If two of the three examiners have passed the thesis at this point, the thesis is passed. After the RRR and revisions, final revised version of the thesis is the official thesis.</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150FB3D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If there is one fail and two passes (including PR), thesis passes. (Revised version final)</w:t>
            </w:r>
          </w:p>
          <w:p w14:paraId="16742B1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lastRenderedPageBreak/>
              <w:t> </w:t>
            </w:r>
            <w:r w:rsidRPr="0030693C">
              <w:rPr>
                <w:rFonts w:ascii="Source Sans Pro" w:eastAsia="Arial" w:hAnsi="Source Sans Pro" w:cs="Arial"/>
                <w:color w:val="000000"/>
                <w:sz w:val="20"/>
                <w:szCs w:val="20"/>
              </w:rPr>
              <w:t>If there is one RRR, one Pass and one Fail, the student submits revised thesis to one examiner.</w:t>
            </w:r>
          </w:p>
          <w:p w14:paraId="01A6946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Recommendation can then be P, PR. F.</w:t>
            </w:r>
          </w:p>
          <w:p w14:paraId="6E974AD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r w:rsidRPr="0030693C">
              <w:rPr>
                <w:rFonts w:ascii="Source Sans Pro" w:eastAsia="Arial" w:hAnsi="Source Sans Pro" w:cs="Arial"/>
                <w:color w:val="000000"/>
                <w:sz w:val="20"/>
                <w:szCs w:val="20"/>
              </w:rPr>
              <w:t>If there are two passes, the thesis is revised as required and the revised version is final.</w:t>
            </w:r>
          </w:p>
        </w:tc>
      </w:tr>
      <w:tr w:rsidR="00964C26" w14:paraId="3A1F95BE"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477B590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lastRenderedPageBreak/>
              <w:t>PR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62139BA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w:t>
            </w:r>
          </w:p>
          <w:p w14:paraId="2547AA17"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49550C5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5EC6891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w:t>
            </w:r>
          </w:p>
          <w:p w14:paraId="018544D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70AFBD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2105FB4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two examiners – recommendation for RRR can be P, PR, F Majority recommendation decides. If recommendation of any RRR is PR final revised version is final.</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7D86542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(if necessary), 1 examiner.</w:t>
            </w:r>
          </w:p>
          <w:p w14:paraId="2557F35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Recommendation for RRR can be P, PR, F. Majority recommendation decides. If there </w:t>
            </w:r>
            <w:proofErr w:type="gramStart"/>
            <w:r w:rsidRPr="0030693C">
              <w:rPr>
                <w:rFonts w:ascii="Source Sans Pro" w:eastAsia="Arial" w:hAnsi="Source Sans Pro" w:cs="Arial"/>
                <w:color w:val="000000"/>
                <w:sz w:val="20"/>
                <w:szCs w:val="20"/>
              </w:rPr>
              <w:t>is</w:t>
            </w:r>
            <w:proofErr w:type="gramEnd"/>
            <w:r w:rsidRPr="0030693C">
              <w:rPr>
                <w:rFonts w:ascii="Source Sans Pro" w:eastAsia="Arial" w:hAnsi="Source Sans Pro" w:cs="Arial"/>
                <w:color w:val="000000"/>
                <w:sz w:val="20"/>
                <w:szCs w:val="20"/>
              </w:rPr>
              <w:t xml:space="preserve"> further revisions from PR, final revised version is final.</w:t>
            </w:r>
          </w:p>
        </w:tc>
      </w:tr>
      <w:tr w:rsidR="00964C26" w14:paraId="0CA7AA90"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68C06FE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RRR</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39915DD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two examiners who rec’d RRR - recommendation can then be P, PR, F. If recommendation of RRR is then PR, final revised version is final.</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18C8C23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two examiners – recommendation for RRR can be P, PR, F. If no more than 1 F out of three, thesis passes. (Majority of Three). If recommendation of RRR is 2, final revised version is final.</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68CE8C2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three examiners – recommendation can be 1, 2 or 4. Majority recommendation decides. If recommendation of any RRR is 2, final revised version is final.</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56E43A9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If there is a P and RRR, Student submits revised thesis to one examiner. PR + RRR, goes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examiner. RRR+RRR, revised thesis goes to both remaining examiners. Recommendation can be P, PR, F. Majority recommendation stands. If recommendation of any RRR is PR, final revised version is final.</w:t>
            </w:r>
          </w:p>
        </w:tc>
      </w:tr>
      <w:tr w:rsidR="00964C26" w14:paraId="4872137A"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174720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1EBC149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306F872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419FCA6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2A242A2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r>
    </w:tbl>
    <w:p w14:paraId="5B620C15" w14:textId="77777777" w:rsidR="00964C26" w:rsidRDefault="009F0C94" w:rsidP="0030693C">
      <w:pPr>
        <w:pStyle w:val="MPFSubheading"/>
        <w:rPr>
          <w:rFonts w:eastAsia="Arial"/>
        </w:rPr>
      </w:pPr>
      <w:r>
        <w:rPr>
          <w:rFonts w:eastAsia="Arial"/>
        </w:rPr>
        <w:t>Replacement Examiner</w:t>
      </w:r>
    </w:p>
    <w:p w14:paraId="5B765685" w14:textId="77777777" w:rsidR="00964C26" w:rsidRDefault="009F0C94" w:rsidP="0030693C">
      <w:pPr>
        <w:pStyle w:val="MPLParagraphlevel1"/>
      </w:pPr>
      <w:r>
        <w:t>If an original Examiner (including a Third Examiner) selects 3 but is unable to complete the examination process after presenting their required changes, a Replacement Examiner must be appointed. A Replacement Examiner is asked to verify whether the revisions have been made in accordance with the original examination report of the Examiner they are replacing. The Replacement Examiner is provided with:</w:t>
      </w:r>
    </w:p>
    <w:p w14:paraId="65E224CD" w14:textId="77777777" w:rsidR="00964C26" w:rsidRDefault="009F0C94" w:rsidP="0030693C">
      <w:pPr>
        <w:pStyle w:val="MPLParagraphlevel2"/>
        <w:rPr>
          <w:rFonts w:eastAsia="Arial"/>
        </w:rPr>
      </w:pPr>
      <w:r>
        <w:rPr>
          <w:rFonts w:eastAsia="Arial"/>
        </w:rPr>
        <w:t>The revised thesis;</w:t>
      </w:r>
    </w:p>
    <w:p w14:paraId="2FAAA94F" w14:textId="77777777" w:rsidR="00964C26" w:rsidRDefault="009F0C94" w:rsidP="0030693C">
      <w:pPr>
        <w:pStyle w:val="MPLParagraphlevel2"/>
        <w:rPr>
          <w:rFonts w:eastAsia="Arial"/>
        </w:rPr>
      </w:pPr>
      <w:r>
        <w:rPr>
          <w:rFonts w:eastAsia="Arial"/>
        </w:rPr>
        <w:t>The candidate’s response to the Examiner’s report (or Examiners’ reports); and</w:t>
      </w:r>
    </w:p>
    <w:p w14:paraId="412E1790" w14:textId="77777777" w:rsidR="00964C26" w:rsidRDefault="009F0C94" w:rsidP="0030693C">
      <w:pPr>
        <w:pStyle w:val="MPLParagraphlevel2"/>
        <w:rPr>
          <w:rFonts w:eastAsia="Arial"/>
        </w:rPr>
      </w:pPr>
      <w:r>
        <w:rPr>
          <w:rFonts w:eastAsia="Arial"/>
        </w:rPr>
        <w:lastRenderedPageBreak/>
        <w:t xml:space="preserve">The de-identified examination report of the Examiner they are replacing to check if the revisions have been </w:t>
      </w:r>
      <w:proofErr w:type="gramStart"/>
      <w:r>
        <w:rPr>
          <w:rFonts w:eastAsia="Arial"/>
        </w:rPr>
        <w:t>made</w:t>
      </w:r>
      <w:proofErr w:type="gramEnd"/>
    </w:p>
    <w:p w14:paraId="204ABD51" w14:textId="77777777" w:rsidR="00964C26" w:rsidRDefault="009F0C94" w:rsidP="0030693C">
      <w:pPr>
        <w:pStyle w:val="MPLParagraphlevel2"/>
        <w:rPr>
          <w:rFonts w:eastAsia="Arial"/>
        </w:rPr>
      </w:pPr>
      <w:r>
        <w:rPr>
          <w:rFonts w:eastAsia="Arial"/>
        </w:rPr>
        <w:t xml:space="preserve">If the result of a Doctoral Degree (Research) thesis is Fail, the thesis may be resubmitted for a </w:t>
      </w: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qualification, subject to the approval of the </w:t>
      </w:r>
      <w:proofErr w:type="spellStart"/>
      <w:r>
        <w:rPr>
          <w:rFonts w:eastAsia="Arial"/>
        </w:rPr>
        <w:t>CoE</w:t>
      </w:r>
      <w:proofErr w:type="spellEnd"/>
      <w:r>
        <w:rPr>
          <w:rFonts w:eastAsia="Arial"/>
        </w:rPr>
        <w:t>, the head of the department and the chair of HDRC.</w:t>
      </w:r>
    </w:p>
    <w:p w14:paraId="6E4D8345" w14:textId="77777777" w:rsidR="00964C26" w:rsidRDefault="009F0C94" w:rsidP="0030693C">
      <w:pPr>
        <w:pStyle w:val="MPLParagraphlevel1"/>
      </w:pPr>
      <w:r>
        <w:t xml:space="preserve">Award of a numeric mark for </w:t>
      </w:r>
      <w:proofErr w:type="gramStart"/>
      <w:r>
        <w:t>Masters Degrees</w:t>
      </w:r>
      <w:proofErr w:type="gramEnd"/>
      <w:r>
        <w:t xml:space="preserve"> (Research)</w:t>
      </w:r>
    </w:p>
    <w:p w14:paraId="2EB1ECC6" w14:textId="77777777" w:rsidR="00964C26" w:rsidRDefault="009F0C94" w:rsidP="0030693C">
      <w:pPr>
        <w:pStyle w:val="MPLParagraphlevel1"/>
        <w:rPr>
          <w:rFonts w:ascii="Arial" w:hAnsi="Arial"/>
          <w:color w:val="000000"/>
          <w:szCs w:val="20"/>
        </w:rPr>
      </w:pPr>
      <w:r>
        <w:rPr>
          <w:rFonts w:ascii="Arial" w:hAnsi="Arial"/>
          <w:color w:val="000000"/>
          <w:szCs w:val="20"/>
        </w:rPr>
        <w:t>Examiners are asked to provide comments and a numeric mark in the range 0-100.</w:t>
      </w:r>
    </w:p>
    <w:p w14:paraId="7AD52165" w14:textId="77777777" w:rsidR="00964C26" w:rsidRDefault="009F0C94" w:rsidP="0030693C">
      <w:pPr>
        <w:pStyle w:val="MPLParagraphlevel1"/>
      </w:pPr>
      <w:r>
        <w:t xml:space="preserve">If the numeric marks are both at H1 (80 or above), the average of the examiners’ marks are recorded as the </w:t>
      </w:r>
      <w:r w:rsidRPr="0030693C">
        <w:t>final</w:t>
      </w:r>
      <w:r w:rsidR="0030693C">
        <w:t>.</w:t>
      </w:r>
    </w:p>
    <w:p w14:paraId="5D6F2C1B" w14:textId="77777777" w:rsidR="00964C26" w:rsidRDefault="009F0C94" w:rsidP="0030693C">
      <w:pPr>
        <w:pStyle w:val="MPLParagraphlevel1"/>
      </w:pPr>
      <w:r>
        <w:t xml:space="preserve">If the examiners’ numeric marks differ by 10 or more and one or more marks are outside the </w:t>
      </w:r>
      <w:proofErr w:type="spellStart"/>
      <w:r>
        <w:t>Honours</w:t>
      </w:r>
      <w:proofErr w:type="spellEnd"/>
      <w:r>
        <w:t xml:space="preserve"> First Class grade (H1) (80 or above), each examiner is sent their co-examiner’s report de- </w:t>
      </w:r>
      <w:r w:rsidRPr="0030693C">
        <w:t>identified</w:t>
      </w:r>
      <w:r>
        <w:t xml:space="preserve"> and asked to reconsider their mark. If after this process the difference in numeric mark:</w:t>
      </w:r>
    </w:p>
    <w:p w14:paraId="0CFBF0F0" w14:textId="77777777" w:rsidR="00964C26" w:rsidRDefault="009F0C94" w:rsidP="0030693C">
      <w:pPr>
        <w:pStyle w:val="MPLParagraphlevel2"/>
        <w:rPr>
          <w:rFonts w:eastAsia="Arial"/>
        </w:rPr>
      </w:pPr>
      <w:r>
        <w:rPr>
          <w:rFonts w:eastAsia="Arial"/>
        </w:rPr>
        <w:t>remains 10 or more and one or more marks are outside the H1 grade, a third examiner is appointed; or,</w:t>
      </w:r>
    </w:p>
    <w:p w14:paraId="3856D498" w14:textId="77777777" w:rsidR="00964C26" w:rsidRDefault="009F0C94" w:rsidP="0030693C">
      <w:pPr>
        <w:pStyle w:val="MPLParagraphlevel2"/>
        <w:rPr>
          <w:rFonts w:eastAsia="Arial"/>
        </w:rPr>
      </w:pPr>
      <w:r>
        <w:rPr>
          <w:rFonts w:eastAsia="Arial"/>
        </w:rPr>
        <w:t xml:space="preserve">is less than 10, the final mark is the average of the two </w:t>
      </w:r>
      <w:proofErr w:type="gramStart"/>
      <w:r>
        <w:rPr>
          <w:rFonts w:eastAsia="Arial"/>
        </w:rPr>
        <w:t>adjusted</w:t>
      </w:r>
      <w:proofErr w:type="gramEnd"/>
    </w:p>
    <w:p w14:paraId="7626A7E7" w14:textId="77777777" w:rsidR="00964C26" w:rsidRDefault="009F0C94" w:rsidP="0030693C">
      <w:pPr>
        <w:pStyle w:val="MPLParagraphlevel1"/>
      </w:pPr>
      <w:r>
        <w:t xml:space="preserve">When a third examiner is </w:t>
      </w:r>
      <w:proofErr w:type="gramStart"/>
      <w:r>
        <w:t>appointed</w:t>
      </w:r>
      <w:proofErr w:type="gramEnd"/>
      <w:r>
        <w:t xml:space="preserve"> they are not informed of the other two marks, nor provided with the written comments of those two</w:t>
      </w:r>
    </w:p>
    <w:p w14:paraId="44043D35" w14:textId="77777777" w:rsidR="00964C26" w:rsidRDefault="009F0C94" w:rsidP="0030693C">
      <w:pPr>
        <w:pStyle w:val="MPLParagraphlevel1"/>
      </w:pPr>
      <w:r>
        <w:t xml:space="preserve">After a third mark and comments have been received, the final mark is the rounded three-way average of the third examiner’s mark and the two moderated marks provided by the first </w:t>
      </w:r>
      <w:proofErr w:type="gramStart"/>
      <w:r>
        <w:t>two</w:t>
      </w:r>
      <w:proofErr w:type="gramEnd"/>
    </w:p>
    <w:p w14:paraId="71ACF07E" w14:textId="77777777" w:rsidR="00964C26" w:rsidRDefault="009F0C94" w:rsidP="0030693C">
      <w:pPr>
        <w:pStyle w:val="MPLParagraphlevel1"/>
      </w:pPr>
      <w:r>
        <w:t>If the result of the first examination is ‘revise and resubmit’, examiners are not asked to provide a numerical mark on second examination of the thesis. The numeric marks provided at the first examination is used in the calculation of the final</w:t>
      </w:r>
    </w:p>
    <w:p w14:paraId="1293149A" w14:textId="77777777" w:rsidR="00964C26" w:rsidRDefault="009F0C94" w:rsidP="0030693C">
      <w:pPr>
        <w:pStyle w:val="MPLParagraphlevel1"/>
      </w:pPr>
      <w:r>
        <w:t>If the result of the second examination is pass or pass with amendments, the average of the examiners’ original marks is recorded as the final mark, unless the average mark is below 65%, in which case a pass mark of 65% is awarded.</w:t>
      </w:r>
    </w:p>
    <w:p w14:paraId="2F8A111E" w14:textId="77777777" w:rsidR="00964C26" w:rsidRDefault="009F0C94" w:rsidP="0030693C">
      <w:pPr>
        <w:pStyle w:val="MPLParagraphlevel1"/>
      </w:pPr>
      <w:r>
        <w:t xml:space="preserve">If the result of the examination is </w:t>
      </w:r>
      <w:proofErr w:type="gramStart"/>
      <w:r>
        <w:t>fail</w:t>
      </w:r>
      <w:proofErr w:type="gramEnd"/>
      <w:r>
        <w:t>, a result of Fail is recorded and the mark awarded for the thesis or compilation is 64%.</w:t>
      </w:r>
    </w:p>
    <w:p w14:paraId="5EBF7613" w14:textId="77777777" w:rsidR="00964C26" w:rsidRDefault="009F0C94" w:rsidP="0030693C">
      <w:pPr>
        <w:pStyle w:val="MPFSubheading"/>
      </w:pPr>
      <w:r>
        <w:t xml:space="preserve">Grading scale for </w:t>
      </w:r>
      <w:proofErr w:type="gramStart"/>
      <w:r>
        <w:t>Masters Degrees</w:t>
      </w:r>
      <w:proofErr w:type="gramEnd"/>
      <w:r>
        <w:t xml:space="preserve"> (Research)</w:t>
      </w:r>
    </w:p>
    <w:tbl>
      <w:tblPr>
        <w:tblW w:w="5335" w:type="pct"/>
        <w:tblCellSpacing w:w="15" w:type="dxa"/>
        <w:tblCellMar>
          <w:top w:w="15" w:type="dxa"/>
          <w:left w:w="15" w:type="dxa"/>
          <w:bottom w:w="15" w:type="dxa"/>
          <w:right w:w="15" w:type="dxa"/>
        </w:tblCellMar>
        <w:tblLook w:val="04A0" w:firstRow="1" w:lastRow="0" w:firstColumn="1" w:lastColumn="0" w:noHBand="0" w:noVBand="1"/>
      </w:tblPr>
      <w:tblGrid>
        <w:gridCol w:w="895"/>
        <w:gridCol w:w="1150"/>
        <w:gridCol w:w="7163"/>
      </w:tblGrid>
      <w:tr w:rsidR="00964C26" w14:paraId="6E4FB4E0" w14:textId="77777777" w:rsidTr="00E45F76">
        <w:trPr>
          <w:trHeight w:val="1140"/>
          <w:tblCellSpacing w:w="15" w:type="dxa"/>
        </w:trPr>
        <w:tc>
          <w:tcPr>
            <w:tcW w:w="462" w:type="pct"/>
            <w:tcBorders>
              <w:top w:val="single" w:sz="4" w:space="0" w:color="000000"/>
              <w:left w:val="single" w:sz="4" w:space="0" w:color="000000"/>
              <w:bottom w:val="single" w:sz="4" w:space="0" w:color="000000"/>
              <w:right w:val="single" w:sz="4" w:space="0" w:color="000000"/>
            </w:tcBorders>
            <w:vAlign w:val="center"/>
          </w:tcPr>
          <w:p w14:paraId="7221B05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Numeric mark</w:t>
            </w:r>
          </w:p>
        </w:tc>
        <w:tc>
          <w:tcPr>
            <w:tcW w:w="608" w:type="pct"/>
            <w:tcBorders>
              <w:top w:val="single" w:sz="4" w:space="0" w:color="000000"/>
              <w:left w:val="single" w:sz="4" w:space="0" w:color="000000"/>
              <w:bottom w:val="single" w:sz="4" w:space="0" w:color="000000"/>
              <w:right w:val="single" w:sz="4" w:space="0" w:color="000000"/>
            </w:tcBorders>
            <w:vAlign w:val="center"/>
          </w:tcPr>
          <w:p w14:paraId="1177A41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Grade</w:t>
            </w:r>
          </w:p>
        </w:tc>
        <w:tc>
          <w:tcPr>
            <w:tcW w:w="3865" w:type="pct"/>
            <w:tcBorders>
              <w:top w:val="single" w:sz="4" w:space="0" w:color="000000"/>
              <w:left w:val="single" w:sz="4" w:space="0" w:color="000000"/>
              <w:bottom w:val="single" w:sz="4" w:space="0" w:color="000000"/>
              <w:right w:val="single" w:sz="4" w:space="0" w:color="000000"/>
            </w:tcBorders>
            <w:vAlign w:val="center"/>
          </w:tcPr>
          <w:p w14:paraId="35E005E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Description</w:t>
            </w:r>
          </w:p>
        </w:tc>
      </w:tr>
      <w:tr w:rsidR="00964C26" w14:paraId="272B2C84"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02DAF1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90–100%</w:t>
            </w:r>
          </w:p>
        </w:tc>
        <w:tc>
          <w:tcPr>
            <w:tcW w:w="608" w:type="pct"/>
            <w:tcBorders>
              <w:top w:val="single" w:sz="2" w:space="0" w:color="000000"/>
              <w:left w:val="single" w:sz="2" w:space="0" w:color="000000"/>
              <w:bottom w:val="single" w:sz="2" w:space="0" w:color="000000"/>
              <w:right w:val="single" w:sz="2" w:space="0" w:color="000000"/>
            </w:tcBorders>
            <w:vAlign w:val="center"/>
          </w:tcPr>
          <w:p w14:paraId="2470C77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Outstanding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15A22BD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very high level of competence with respect to the criteria for examination</w:t>
            </w:r>
          </w:p>
          <w:p w14:paraId="09793D7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clear evidence of considerable original work of high quality, including analysis or other evaluation</w:t>
            </w:r>
          </w:p>
          <w:p w14:paraId="0B36B31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4C81B5E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only a small amount of revision and/or editing required.</w:t>
            </w:r>
          </w:p>
        </w:tc>
      </w:tr>
      <w:tr w:rsidR="00964C26" w14:paraId="79DE7AAF"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3E578B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85–89%</w:t>
            </w:r>
          </w:p>
        </w:tc>
        <w:tc>
          <w:tcPr>
            <w:tcW w:w="608" w:type="pct"/>
            <w:tcBorders>
              <w:top w:val="single" w:sz="2" w:space="0" w:color="000000"/>
              <w:left w:val="single" w:sz="2" w:space="0" w:color="000000"/>
              <w:bottom w:val="single" w:sz="2" w:space="0" w:color="000000"/>
              <w:right w:val="single" w:sz="2" w:space="0" w:color="000000"/>
            </w:tcBorders>
            <w:vAlign w:val="center"/>
          </w:tcPr>
          <w:p w14:paraId="3F81869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Excellent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6716517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high level of competence with respect to the criteria for examination</w:t>
            </w:r>
          </w:p>
          <w:p w14:paraId="5E40E61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clear evidence of considerable original work of high quality, including analysis or other evaluation</w:t>
            </w:r>
          </w:p>
          <w:p w14:paraId="7AC7538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4BDD0A3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a small amount of further research and/or analysis</w:t>
            </w:r>
          </w:p>
        </w:tc>
      </w:tr>
      <w:tr w:rsidR="00964C26" w14:paraId="7D3EAFEB" w14:textId="77777777" w:rsidTr="00E45F76">
        <w:trPr>
          <w:trHeight w:val="5700"/>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671572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80–84%</w:t>
            </w:r>
          </w:p>
        </w:tc>
        <w:tc>
          <w:tcPr>
            <w:tcW w:w="608" w:type="pct"/>
            <w:tcBorders>
              <w:top w:val="single" w:sz="2" w:space="0" w:color="000000"/>
              <w:left w:val="single" w:sz="2" w:space="0" w:color="000000"/>
              <w:bottom w:val="single" w:sz="2" w:space="0" w:color="000000"/>
              <w:right w:val="single" w:sz="2" w:space="0" w:color="000000"/>
            </w:tcBorders>
            <w:vAlign w:val="center"/>
          </w:tcPr>
          <w:p w14:paraId="3CC62F5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Very good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1A1256A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more than adequate level of competence with respect to the criteria for examination</w:t>
            </w:r>
          </w:p>
          <w:p w14:paraId="4C91F8F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provides evidence of the candidate’s ability to synthesise and organise existing information in a useful and critical manner and is well written and free of error</w:t>
            </w:r>
          </w:p>
          <w:p w14:paraId="1707ED9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2632DB5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analysis or other evaluation</w:t>
            </w:r>
          </w:p>
          <w:p w14:paraId="0814E9B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25565D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a small amount of further research and/or analysis</w:t>
            </w:r>
          </w:p>
        </w:tc>
      </w:tr>
      <w:tr w:rsidR="00964C26" w14:paraId="00C8AD8B" w14:textId="77777777" w:rsidTr="00E45F76">
        <w:trPr>
          <w:trHeight w:val="47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68EFC5C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75–79%</w:t>
            </w:r>
          </w:p>
        </w:tc>
        <w:tc>
          <w:tcPr>
            <w:tcW w:w="608" w:type="pct"/>
            <w:tcBorders>
              <w:top w:val="single" w:sz="2" w:space="0" w:color="000000"/>
              <w:left w:val="single" w:sz="2" w:space="0" w:color="000000"/>
              <w:bottom w:val="single" w:sz="2" w:space="0" w:color="000000"/>
              <w:right w:val="single" w:sz="2" w:space="0" w:color="000000"/>
            </w:tcBorders>
            <w:vAlign w:val="center"/>
          </w:tcPr>
          <w:p w14:paraId="5183436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Good (H2A)</w:t>
            </w:r>
          </w:p>
        </w:tc>
        <w:tc>
          <w:tcPr>
            <w:tcW w:w="3865" w:type="pct"/>
            <w:tcBorders>
              <w:top w:val="single" w:sz="2" w:space="0" w:color="000000"/>
              <w:left w:val="single" w:sz="2" w:space="0" w:color="000000"/>
              <w:bottom w:val="single" w:sz="2" w:space="0" w:color="000000"/>
              <w:right w:val="single" w:sz="2" w:space="0" w:color="000000"/>
            </w:tcBorders>
            <w:vAlign w:val="center"/>
          </w:tcPr>
          <w:p w14:paraId="33BE882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minimum level of competence with respect to the criteria for examination</w:t>
            </w:r>
          </w:p>
          <w:p w14:paraId="2F7A656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provides evidence of the candidate’s ability to synthesise and organise existing information in a useful and critical manner and is well-written and largely free of error</w:t>
            </w:r>
          </w:p>
          <w:p w14:paraId="05904E4D"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0C18907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analysis or other evaluation and some amount of research</w:t>
            </w:r>
          </w:p>
          <w:p w14:paraId="256A79A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with further research and/or analysis the thesis might be worthy of publication.</w:t>
            </w:r>
          </w:p>
        </w:tc>
      </w:tr>
      <w:tr w:rsidR="00964C26" w14:paraId="524EA400"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2DB66CB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70–74%</w:t>
            </w:r>
          </w:p>
        </w:tc>
        <w:tc>
          <w:tcPr>
            <w:tcW w:w="608" w:type="pct"/>
            <w:tcBorders>
              <w:top w:val="single" w:sz="2" w:space="0" w:color="000000"/>
              <w:left w:val="single" w:sz="2" w:space="0" w:color="000000"/>
              <w:bottom w:val="single" w:sz="2" w:space="0" w:color="000000"/>
              <w:right w:val="single" w:sz="2" w:space="0" w:color="000000"/>
            </w:tcBorders>
            <w:vAlign w:val="center"/>
          </w:tcPr>
          <w:p w14:paraId="4A764D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Satisfactory (H2B)</w:t>
            </w:r>
          </w:p>
        </w:tc>
        <w:tc>
          <w:tcPr>
            <w:tcW w:w="3865" w:type="pct"/>
            <w:tcBorders>
              <w:top w:val="single" w:sz="2" w:space="0" w:color="000000"/>
              <w:left w:val="single" w:sz="2" w:space="0" w:color="000000"/>
              <w:bottom w:val="single" w:sz="2" w:space="0" w:color="000000"/>
              <w:right w:val="single" w:sz="2" w:space="0" w:color="000000"/>
            </w:tcBorders>
            <w:vAlign w:val="center"/>
          </w:tcPr>
          <w:p w14:paraId="379481B7"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minimum level of competence with respect to the criteria for examination</w:t>
            </w:r>
          </w:p>
          <w:p w14:paraId="57411468"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judged to be more than adequate in at least one of the examination criteria</w:t>
            </w:r>
          </w:p>
          <w:p w14:paraId="76B8CC3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2A7E820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some analysis or other evaluation of the proposal, even if not fully implemented or tested.</w:t>
            </w:r>
          </w:p>
        </w:tc>
      </w:tr>
      <w:tr w:rsidR="00964C26" w14:paraId="1B40A42D" w14:textId="77777777" w:rsidTr="00E45F76">
        <w:trPr>
          <w:trHeight w:val="1140"/>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2DF677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65–69%</w:t>
            </w:r>
          </w:p>
        </w:tc>
        <w:tc>
          <w:tcPr>
            <w:tcW w:w="608" w:type="pct"/>
            <w:tcBorders>
              <w:top w:val="single" w:sz="2" w:space="0" w:color="000000"/>
              <w:left w:val="single" w:sz="2" w:space="0" w:color="000000"/>
              <w:bottom w:val="single" w:sz="2" w:space="0" w:color="000000"/>
              <w:right w:val="single" w:sz="2" w:space="0" w:color="000000"/>
            </w:tcBorders>
            <w:vAlign w:val="center"/>
          </w:tcPr>
          <w:p w14:paraId="6364B15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Adequate (H3)</w:t>
            </w:r>
          </w:p>
        </w:tc>
        <w:tc>
          <w:tcPr>
            <w:tcW w:w="3865" w:type="pct"/>
            <w:tcBorders>
              <w:top w:val="single" w:sz="2" w:space="0" w:color="000000"/>
              <w:left w:val="single" w:sz="2" w:space="0" w:color="000000"/>
              <w:bottom w:val="single" w:sz="2" w:space="0" w:color="000000"/>
              <w:right w:val="single" w:sz="2" w:space="0" w:color="000000"/>
            </w:tcBorders>
            <w:vAlign w:val="center"/>
          </w:tcPr>
          <w:p w14:paraId="28F35CE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candidate has demonstrated a minimum level of competence with respect to the criteria for examination</w:t>
            </w:r>
          </w:p>
        </w:tc>
      </w:tr>
      <w:tr w:rsidR="00964C26" w14:paraId="1AD0B9AA" w14:textId="77777777" w:rsidTr="00E45F76">
        <w:trPr>
          <w:trHeight w:val="14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19E70F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50–64%</w:t>
            </w:r>
          </w:p>
        </w:tc>
        <w:tc>
          <w:tcPr>
            <w:tcW w:w="608" w:type="pct"/>
            <w:tcBorders>
              <w:top w:val="single" w:sz="2" w:space="0" w:color="000000"/>
              <w:left w:val="single" w:sz="2" w:space="0" w:color="000000"/>
              <w:bottom w:val="single" w:sz="2" w:space="0" w:color="000000"/>
              <w:right w:val="single" w:sz="2" w:space="0" w:color="000000"/>
            </w:tcBorders>
            <w:vAlign w:val="center"/>
          </w:tcPr>
          <w:p w14:paraId="5038D16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Inadequate</w:t>
            </w:r>
          </w:p>
        </w:tc>
        <w:tc>
          <w:tcPr>
            <w:tcW w:w="3865" w:type="pct"/>
            <w:tcBorders>
              <w:top w:val="single" w:sz="2" w:space="0" w:color="000000"/>
              <w:left w:val="single" w:sz="2" w:space="0" w:color="000000"/>
              <w:bottom w:val="single" w:sz="2" w:space="0" w:color="000000"/>
              <w:right w:val="single" w:sz="2" w:space="0" w:color="000000"/>
            </w:tcBorders>
            <w:vAlign w:val="center"/>
          </w:tcPr>
          <w:p w14:paraId="2EC6C71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thesis is deficient with respect to one or more of the criteria for examination and resubmission of the thesis in a revised form is required for re-examination.</w:t>
            </w:r>
          </w:p>
        </w:tc>
      </w:tr>
      <w:tr w:rsidR="00964C26" w14:paraId="09B7DA43" w14:textId="77777777" w:rsidTr="00E45F76">
        <w:trPr>
          <w:trHeight w:val="14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546F6F5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0–49%</w:t>
            </w:r>
          </w:p>
        </w:tc>
        <w:tc>
          <w:tcPr>
            <w:tcW w:w="608" w:type="pct"/>
            <w:tcBorders>
              <w:top w:val="single" w:sz="2" w:space="0" w:color="000000"/>
              <w:left w:val="single" w:sz="2" w:space="0" w:color="000000"/>
              <w:bottom w:val="single" w:sz="2" w:space="0" w:color="000000"/>
              <w:right w:val="single" w:sz="2" w:space="0" w:color="000000"/>
            </w:tcBorders>
            <w:vAlign w:val="center"/>
          </w:tcPr>
          <w:p w14:paraId="520F72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Failed</w:t>
            </w:r>
          </w:p>
        </w:tc>
        <w:tc>
          <w:tcPr>
            <w:tcW w:w="3865" w:type="pct"/>
            <w:tcBorders>
              <w:top w:val="single" w:sz="2" w:space="0" w:color="000000"/>
              <w:left w:val="single" w:sz="2" w:space="0" w:color="000000"/>
              <w:bottom w:val="single" w:sz="2" w:space="0" w:color="000000"/>
              <w:right w:val="single" w:sz="2" w:space="0" w:color="000000"/>
            </w:tcBorders>
            <w:vAlign w:val="center"/>
          </w:tcPr>
          <w:p w14:paraId="35B55C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thesis is so deficient with respect to one or more of the criteria for examination that revision and resubmission cannot be considered as an option.</w:t>
            </w:r>
          </w:p>
        </w:tc>
      </w:tr>
    </w:tbl>
    <w:p w14:paraId="6D3CDF41" w14:textId="77777777" w:rsidR="00964C26" w:rsidRDefault="009F0C94" w:rsidP="0030693C">
      <w:pPr>
        <w:pStyle w:val="MPFSubheading"/>
      </w:pPr>
      <w:r>
        <w:t>Re-examination after a finding of academic misconduct</w:t>
      </w:r>
    </w:p>
    <w:p w14:paraId="534DB32E" w14:textId="77777777" w:rsidR="00964C26" w:rsidRDefault="009F0C94" w:rsidP="0030693C">
      <w:pPr>
        <w:pStyle w:val="MPLParagraphlevel1"/>
      </w:pPr>
      <w:r>
        <w:t>Where an allegation of academic misconduct has been upheld and the examination has been allowed to proceed the candidate must:</w:t>
      </w:r>
    </w:p>
    <w:p w14:paraId="66DFBB35" w14:textId="77777777" w:rsidR="00964C26" w:rsidRDefault="009F0C94" w:rsidP="0030693C">
      <w:pPr>
        <w:pStyle w:val="MPLParagraphlevel2"/>
        <w:rPr>
          <w:rFonts w:eastAsia="Arial"/>
        </w:rPr>
      </w:pPr>
      <w:r>
        <w:rPr>
          <w:rFonts w:eastAsia="Arial"/>
        </w:rPr>
        <w:t>make any changes requested by the examiners;</w:t>
      </w:r>
    </w:p>
    <w:p w14:paraId="301DD5BE" w14:textId="77777777" w:rsidR="00964C26" w:rsidRDefault="009F0C94" w:rsidP="0030693C">
      <w:pPr>
        <w:pStyle w:val="MPLParagraphlevel2"/>
        <w:rPr>
          <w:rFonts w:eastAsia="Arial"/>
        </w:rPr>
      </w:pPr>
      <w:r>
        <w:rPr>
          <w:rFonts w:eastAsia="Arial"/>
        </w:rPr>
        <w:t>where appropriate, remove all unoriginal text from the thesis or correctly cite it; and</w:t>
      </w:r>
    </w:p>
    <w:p w14:paraId="039DACAC" w14:textId="77777777" w:rsidR="00964C26" w:rsidRDefault="009F0C94" w:rsidP="0030693C">
      <w:pPr>
        <w:pStyle w:val="MPLParagraphlevel2"/>
        <w:rPr>
          <w:rFonts w:eastAsia="Arial"/>
        </w:rPr>
      </w:pPr>
      <w:r>
        <w:rPr>
          <w:rFonts w:eastAsia="Arial"/>
        </w:rPr>
        <w:t xml:space="preserve">submit the revised thesis and an index of revisions made to the </w:t>
      </w:r>
      <w:proofErr w:type="spellStart"/>
      <w:r>
        <w:rPr>
          <w:rFonts w:eastAsia="Arial"/>
        </w:rPr>
        <w:t>CoE</w:t>
      </w:r>
      <w:proofErr w:type="spellEnd"/>
      <w:r>
        <w:rPr>
          <w:rFonts w:eastAsia="Arial"/>
        </w:rPr>
        <w:t xml:space="preserve"> and the student academic misconduct committee for approval.</w:t>
      </w:r>
    </w:p>
    <w:p w14:paraId="52F6035F" w14:textId="77777777" w:rsidR="00964C26" w:rsidRDefault="0030693C" w:rsidP="0030693C">
      <w:pPr>
        <w:pStyle w:val="MPLParagraphlevel1"/>
      </w:pPr>
      <w:r>
        <w:t xml:space="preserve">The </w:t>
      </w:r>
      <w:proofErr w:type="spellStart"/>
      <w:r w:rsidR="009F0C94">
        <w:t>CoE</w:t>
      </w:r>
      <w:proofErr w:type="spellEnd"/>
      <w:r w:rsidR="009F0C94">
        <w:t xml:space="preserve"> and the student academic misconduct committee must review the changes made to the thesis. If they agree that the candidate has adequately addressed the examiners’ comments and concerns, the examination of the thesis or compilation may proceed. If they do not believe the candidate has adequately addressed the </w:t>
      </w:r>
      <w:proofErr w:type="gramStart"/>
      <w:r w:rsidR="009F0C94">
        <w:t>examiners</w:t>
      </w:r>
      <w:proofErr w:type="gramEnd"/>
      <w:r w:rsidR="009F0C94">
        <w:t xml:space="preserve"> comments and </w:t>
      </w:r>
      <w:proofErr w:type="gramStart"/>
      <w:r w:rsidR="009F0C94">
        <w:t>concerns</w:t>
      </w:r>
      <w:proofErr w:type="gramEnd"/>
      <w:r w:rsidR="009F0C94">
        <w:t xml:space="preserve"> they may recommend a fail result, or that the candidate be given one final opportunity to revise and resubmit.</w:t>
      </w:r>
    </w:p>
    <w:p w14:paraId="42EC38E4" w14:textId="77777777" w:rsidR="00964C26" w:rsidRDefault="009F0C94" w:rsidP="0030693C">
      <w:pPr>
        <w:pStyle w:val="MPLParagraphlevel1"/>
      </w:pPr>
      <w:r>
        <w:t>The revised thesis is sent to the original examiners for a second examination:</w:t>
      </w:r>
    </w:p>
    <w:p w14:paraId="7B4F5373" w14:textId="77777777" w:rsidR="00964C26" w:rsidRDefault="009F0C94" w:rsidP="0030693C">
      <w:pPr>
        <w:pStyle w:val="MPLParagraphlevel2"/>
        <w:rPr>
          <w:rFonts w:eastAsia="Arial"/>
        </w:rPr>
      </w:pPr>
      <w:r>
        <w:rPr>
          <w:rFonts w:eastAsia="Arial"/>
        </w:rPr>
        <w:lastRenderedPageBreak/>
        <w:t>the examiners are not provided with the reports from their co-examiners;</w:t>
      </w:r>
    </w:p>
    <w:p w14:paraId="2D414DB4" w14:textId="77777777" w:rsidR="00964C26" w:rsidRDefault="009F0C94" w:rsidP="0030693C">
      <w:pPr>
        <w:pStyle w:val="MPLParagraphlevel2"/>
        <w:rPr>
          <w:rFonts w:eastAsia="Arial"/>
        </w:rPr>
      </w:pPr>
      <w:r>
        <w:rPr>
          <w:rFonts w:eastAsia="Arial"/>
        </w:rPr>
        <w:t>examiners who are unaware of the allegation of academic misconduct are not informed of the allegation; and,</w:t>
      </w:r>
    </w:p>
    <w:p w14:paraId="3D4EADA9" w14:textId="77777777" w:rsidR="00964C26" w:rsidRDefault="009F0C94" w:rsidP="0030693C">
      <w:pPr>
        <w:pStyle w:val="MPLParagraphlevel2"/>
        <w:rPr>
          <w:rFonts w:eastAsia="Arial"/>
        </w:rPr>
      </w:pPr>
      <w:r>
        <w:rPr>
          <w:rFonts w:eastAsia="Arial"/>
        </w:rPr>
        <w:t>(the candidate is not permitted to submit a response to the examiners comments from the first examination.</w:t>
      </w:r>
    </w:p>
    <w:p w14:paraId="0E68F9E0" w14:textId="77777777" w:rsidR="00964C26" w:rsidRDefault="009F0C94" w:rsidP="0030693C">
      <w:pPr>
        <w:pStyle w:val="MPLParagraphlevel1"/>
      </w:pPr>
      <w:r>
        <w:t>Except for the provisions in section 5.113, the second examination is undertaken in accordance with the standard procedures for second examination of a thesis.</w:t>
      </w:r>
    </w:p>
    <w:p w14:paraId="6C46B2CE" w14:textId="77777777" w:rsidR="00964C26" w:rsidRDefault="009F0C94" w:rsidP="0030693C">
      <w:pPr>
        <w:pStyle w:val="MPFSubheading"/>
      </w:pPr>
      <w:r>
        <w:t>Complaints and Grievances</w:t>
      </w:r>
    </w:p>
    <w:p w14:paraId="6F467E05" w14:textId="77777777" w:rsidR="00964C26" w:rsidRDefault="009F0C94" w:rsidP="0030693C">
      <w:pPr>
        <w:pStyle w:val="MPLParagraphlevel1"/>
      </w:pPr>
      <w:r>
        <w:t>Candidates may submit a complaint or grievance in re</w:t>
      </w:r>
      <w:r w:rsidRPr="0030693C">
        <w:t>lation to the application of this policy in accordance with the Student Complaints and Grievances Policy</w:t>
      </w:r>
      <w:r w:rsidR="0030693C">
        <w:t xml:space="preserve"> (</w:t>
      </w:r>
      <w:hyperlink r:id="rId40" w:history="1">
        <w:r w:rsidR="0030693C" w:rsidRPr="0030693C">
          <w:rPr>
            <w:rStyle w:val="Hyperlink"/>
          </w:rPr>
          <w:t>MPF1066</w:t>
        </w:r>
      </w:hyperlink>
      <w:r w:rsidR="0030693C">
        <w:t>)</w:t>
      </w:r>
      <w:r>
        <w:t xml:space="preserve"> and supporting processes except for matters relating to academic progress.</w:t>
      </w:r>
    </w:p>
    <w:p w14:paraId="7E5D8950" w14:textId="77777777" w:rsidR="00964C26" w:rsidRDefault="009F0C94" w:rsidP="0030693C">
      <w:pPr>
        <w:pStyle w:val="MPFSubheading"/>
      </w:pPr>
      <w:r>
        <w:t>Appeals</w:t>
      </w:r>
    </w:p>
    <w:p w14:paraId="6569B9DF" w14:textId="77777777" w:rsidR="00964C26" w:rsidRDefault="009F0C94" w:rsidP="0030693C">
      <w:pPr>
        <w:pStyle w:val="MPLParagraphlevel1"/>
      </w:pPr>
      <w:r>
        <w:t>The Academic Board can decide any dispute or question arising under this policy other than a decision by an examiner or examination board in relation to the academic performance which is based solely on academic judgement.</w:t>
      </w:r>
    </w:p>
    <w:p w14:paraId="240C8AF0" w14:textId="77777777" w:rsidR="00964C26" w:rsidRDefault="009F0C94" w:rsidP="0030693C">
      <w:pPr>
        <w:pStyle w:val="MPLParagraphlevel1"/>
      </w:pPr>
      <w:r>
        <w:t>Appeals against a decision made under this policy must be made in writing to the Academic Secretary within 20 business days of</w:t>
      </w:r>
      <w:r w:rsidRPr="0030693C">
        <w:t xml:space="preserve"> the sent date of any decision or outcome, in accordance with the Student Appeals Policy</w:t>
      </w:r>
      <w:r w:rsidR="0030693C">
        <w:t xml:space="preserve"> (</w:t>
      </w:r>
      <w:hyperlink r:id="rId41" w:history="1">
        <w:r w:rsidR="0030693C" w:rsidRPr="0030693C">
          <w:rPr>
            <w:rStyle w:val="Hyperlink"/>
          </w:rPr>
          <w:t>MPF1323</w:t>
        </w:r>
      </w:hyperlink>
      <w:r w:rsidR="0030693C">
        <w:t>)</w:t>
      </w:r>
      <w:r w:rsidRPr="0030693C">
        <w:t>.</w:t>
      </w:r>
    </w:p>
    <w:p w14:paraId="103AD462" w14:textId="77777777" w:rsidR="00964C26" w:rsidRDefault="009F0C94" w:rsidP="0030693C">
      <w:pPr>
        <w:pStyle w:val="MPLHeading1"/>
      </w:pPr>
      <w:r>
        <w:t>Roles and responsibilities</w:t>
      </w:r>
    </w:p>
    <w:tbl>
      <w:tblPr>
        <w:tblW w:w="1011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120"/>
        <w:gridCol w:w="3405"/>
        <w:gridCol w:w="3585"/>
      </w:tblGrid>
      <w:tr w:rsidR="00964C26" w14:paraId="0DA4727F" w14:textId="77777777">
        <w:tc>
          <w:tcPr>
            <w:tcW w:w="3120" w:type="dxa"/>
            <w:tcBorders>
              <w:top w:val="outset" w:sz="6" w:space="0" w:color="auto"/>
              <w:left w:val="outset" w:sz="6" w:space="0" w:color="auto"/>
              <w:bottom w:val="outset" w:sz="6" w:space="0" w:color="auto"/>
              <w:right w:val="outset" w:sz="6" w:space="0" w:color="auto"/>
            </w:tcBorders>
          </w:tcPr>
          <w:p w14:paraId="3BF27A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Role/Decision/Action</w:t>
            </w:r>
            <w:r w:rsidRPr="0030693C">
              <w:rPr>
                <w:rFonts w:ascii="Source Sans Pro" w:eastAsia="Arial" w:hAnsi="Source Sans Pro" w:cs="Arial"/>
                <w:b/>
                <w:bCs/>
                <w:color w:val="000000"/>
                <w:sz w:val="20"/>
                <w:szCs w:val="20"/>
              </w:rPr>
              <w:t> </w:t>
            </w:r>
          </w:p>
        </w:tc>
        <w:tc>
          <w:tcPr>
            <w:tcW w:w="3405" w:type="dxa"/>
            <w:tcBorders>
              <w:top w:val="outset" w:sz="6" w:space="0" w:color="auto"/>
              <w:left w:val="outset" w:sz="6" w:space="0" w:color="auto"/>
              <w:bottom w:val="outset" w:sz="6" w:space="0" w:color="auto"/>
              <w:right w:val="outset" w:sz="6" w:space="0" w:color="auto"/>
            </w:tcBorders>
          </w:tcPr>
          <w:p w14:paraId="60435B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Responsibility</w:t>
            </w:r>
            <w:r w:rsidRPr="0030693C">
              <w:rPr>
                <w:rFonts w:ascii="Source Sans Pro" w:eastAsia="Arial" w:hAnsi="Source Sans Pro" w:cs="Arial"/>
                <w:b/>
                <w:bCs/>
                <w:color w:val="000000"/>
                <w:sz w:val="20"/>
                <w:szCs w:val="20"/>
              </w:rPr>
              <w:t> </w:t>
            </w:r>
          </w:p>
        </w:tc>
        <w:tc>
          <w:tcPr>
            <w:tcW w:w="3585" w:type="dxa"/>
            <w:tcBorders>
              <w:top w:val="outset" w:sz="6" w:space="0" w:color="auto"/>
              <w:left w:val="outset" w:sz="6" w:space="0" w:color="auto"/>
              <w:bottom w:val="outset" w:sz="6" w:space="0" w:color="auto"/>
              <w:right w:val="outset" w:sz="6" w:space="0" w:color="auto"/>
            </w:tcBorders>
          </w:tcPr>
          <w:p w14:paraId="130A4FC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Conditions and limitations</w:t>
            </w:r>
            <w:r w:rsidRPr="0030693C">
              <w:rPr>
                <w:rFonts w:ascii="Source Sans Pro" w:eastAsia="Arial" w:hAnsi="Source Sans Pro" w:cs="Arial"/>
                <w:b/>
                <w:bCs/>
                <w:color w:val="000000"/>
                <w:sz w:val="20"/>
                <w:szCs w:val="20"/>
              </w:rPr>
              <w:t> </w:t>
            </w:r>
          </w:p>
        </w:tc>
      </w:tr>
      <w:tr w:rsidR="00964C26" w14:paraId="4A2F6084" w14:textId="77777777">
        <w:tc>
          <w:tcPr>
            <w:tcW w:w="3120" w:type="dxa"/>
            <w:tcBorders>
              <w:top w:val="outset" w:sz="6" w:space="0" w:color="auto"/>
              <w:left w:val="outset" w:sz="6" w:space="0" w:color="auto"/>
              <w:bottom w:val="outset" w:sz="6" w:space="0" w:color="auto"/>
              <w:right w:val="outset" w:sz="6" w:space="0" w:color="auto"/>
            </w:tcBorders>
          </w:tcPr>
          <w:p w14:paraId="78C931B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an Advisory Committee</w:t>
            </w:r>
          </w:p>
        </w:tc>
        <w:tc>
          <w:tcPr>
            <w:tcW w:w="3405" w:type="dxa"/>
            <w:tcBorders>
              <w:top w:val="outset" w:sz="6" w:space="0" w:color="auto"/>
              <w:left w:val="outset" w:sz="6" w:space="0" w:color="auto"/>
              <w:bottom w:val="outset" w:sz="6" w:space="0" w:color="auto"/>
              <w:right w:val="outset" w:sz="6" w:space="0" w:color="auto"/>
            </w:tcBorders>
          </w:tcPr>
          <w:p w14:paraId="598674C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63A006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87723D4" w14:textId="77777777">
        <w:tc>
          <w:tcPr>
            <w:tcW w:w="3120" w:type="dxa"/>
            <w:tcBorders>
              <w:top w:val="outset" w:sz="6" w:space="0" w:color="auto"/>
              <w:left w:val="outset" w:sz="6" w:space="0" w:color="auto"/>
              <w:bottom w:val="outset" w:sz="6" w:space="0" w:color="auto"/>
              <w:right w:val="outset" w:sz="6" w:space="0" w:color="auto"/>
            </w:tcBorders>
            <w:vAlign w:val="center"/>
          </w:tcPr>
          <w:p w14:paraId="169678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a chair of an Advisory Committee</w:t>
            </w:r>
          </w:p>
        </w:tc>
        <w:tc>
          <w:tcPr>
            <w:tcW w:w="3405" w:type="dxa"/>
            <w:tcBorders>
              <w:top w:val="outset" w:sz="6" w:space="0" w:color="auto"/>
              <w:left w:val="outset" w:sz="6" w:space="0" w:color="auto"/>
              <w:bottom w:val="outset" w:sz="6" w:space="0" w:color="auto"/>
              <w:right w:val="outset" w:sz="6" w:space="0" w:color="auto"/>
            </w:tcBorders>
            <w:vAlign w:val="center"/>
          </w:tcPr>
          <w:p w14:paraId="259F6A3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6FB9DD9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FF6AFD8" w14:textId="77777777">
        <w:tc>
          <w:tcPr>
            <w:tcW w:w="3120" w:type="dxa"/>
            <w:tcBorders>
              <w:top w:val="outset" w:sz="6" w:space="0" w:color="auto"/>
              <w:left w:val="outset" w:sz="6" w:space="0" w:color="auto"/>
              <w:bottom w:val="outset" w:sz="6" w:space="0" w:color="auto"/>
              <w:right w:val="outset" w:sz="6" w:space="0" w:color="auto"/>
            </w:tcBorders>
            <w:vAlign w:val="center"/>
          </w:tcPr>
          <w:p w14:paraId="1DA64F9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Approving deferral of commencement</w:t>
            </w:r>
          </w:p>
        </w:tc>
        <w:tc>
          <w:tcPr>
            <w:tcW w:w="3405" w:type="dxa"/>
            <w:tcBorders>
              <w:top w:val="outset" w:sz="6" w:space="0" w:color="auto"/>
              <w:left w:val="outset" w:sz="6" w:space="0" w:color="auto"/>
              <w:bottom w:val="outset" w:sz="6" w:space="0" w:color="auto"/>
              <w:right w:val="outset" w:sz="6" w:space="0" w:color="auto"/>
            </w:tcBorders>
            <w:vAlign w:val="center"/>
          </w:tcPr>
          <w:p w14:paraId="10470F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111AE6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7C6F0FD4" w14:textId="77777777">
        <w:tc>
          <w:tcPr>
            <w:tcW w:w="3120" w:type="dxa"/>
            <w:tcBorders>
              <w:top w:val="outset" w:sz="6" w:space="0" w:color="auto"/>
              <w:left w:val="outset" w:sz="6" w:space="0" w:color="auto"/>
              <w:bottom w:val="outset" w:sz="6" w:space="0" w:color="auto"/>
              <w:right w:val="outset" w:sz="6" w:space="0" w:color="auto"/>
            </w:tcBorders>
          </w:tcPr>
          <w:p w14:paraId="45C4D87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Imposition of conditions on candidature</w:t>
            </w:r>
          </w:p>
        </w:tc>
        <w:tc>
          <w:tcPr>
            <w:tcW w:w="3405" w:type="dxa"/>
            <w:tcBorders>
              <w:top w:val="outset" w:sz="6" w:space="0" w:color="auto"/>
              <w:left w:val="outset" w:sz="6" w:space="0" w:color="auto"/>
              <w:bottom w:val="outset" w:sz="6" w:space="0" w:color="auto"/>
              <w:right w:val="outset" w:sz="6" w:space="0" w:color="auto"/>
            </w:tcBorders>
          </w:tcPr>
          <w:p w14:paraId="2BB2509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2CB4D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in accordance with the deferral provisions of this policy</w:t>
            </w:r>
          </w:p>
        </w:tc>
      </w:tr>
      <w:tr w:rsidR="00964C26" w14:paraId="70DBC112" w14:textId="77777777">
        <w:tc>
          <w:tcPr>
            <w:tcW w:w="3120" w:type="dxa"/>
            <w:tcBorders>
              <w:top w:val="outset" w:sz="6" w:space="0" w:color="auto"/>
              <w:left w:val="outset" w:sz="6" w:space="0" w:color="auto"/>
              <w:bottom w:val="outset" w:sz="6" w:space="0" w:color="auto"/>
              <w:right w:val="outset" w:sz="6" w:space="0" w:color="auto"/>
            </w:tcBorders>
          </w:tcPr>
          <w:p w14:paraId="4BBF242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leave</w:t>
            </w:r>
          </w:p>
          <w:p w14:paraId="7EDA30B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exceptional leave</w:t>
            </w:r>
          </w:p>
        </w:tc>
        <w:tc>
          <w:tcPr>
            <w:tcW w:w="3405" w:type="dxa"/>
            <w:tcBorders>
              <w:top w:val="outset" w:sz="6" w:space="0" w:color="auto"/>
              <w:left w:val="outset" w:sz="6" w:space="0" w:color="auto"/>
              <w:bottom w:val="outset" w:sz="6" w:space="0" w:color="auto"/>
              <w:right w:val="outset" w:sz="6" w:space="0" w:color="auto"/>
            </w:tcBorders>
          </w:tcPr>
          <w:p w14:paraId="138D0E05"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w:t>
            </w:r>
          </w:p>
          <w:p w14:paraId="255F886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or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5D00557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May not approve exceptional leave</w:t>
            </w:r>
          </w:p>
        </w:tc>
      </w:tr>
      <w:tr w:rsidR="00964C26" w14:paraId="44B25EB7" w14:textId="77777777">
        <w:tc>
          <w:tcPr>
            <w:tcW w:w="3120" w:type="dxa"/>
            <w:tcBorders>
              <w:top w:val="outset" w:sz="6" w:space="0" w:color="auto"/>
              <w:left w:val="outset" w:sz="6" w:space="0" w:color="auto"/>
              <w:bottom w:val="outset" w:sz="6" w:space="0" w:color="auto"/>
              <w:right w:val="outset" w:sz="6" w:space="0" w:color="auto"/>
            </w:tcBorders>
          </w:tcPr>
          <w:p w14:paraId="398ABFA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transfer of candidature</w:t>
            </w:r>
          </w:p>
        </w:tc>
        <w:tc>
          <w:tcPr>
            <w:tcW w:w="3405" w:type="dxa"/>
            <w:tcBorders>
              <w:top w:val="outset" w:sz="6" w:space="0" w:color="auto"/>
              <w:left w:val="outset" w:sz="6" w:space="0" w:color="auto"/>
              <w:bottom w:val="outset" w:sz="6" w:space="0" w:color="auto"/>
              <w:right w:val="outset" w:sz="6" w:space="0" w:color="auto"/>
            </w:tcBorders>
          </w:tcPr>
          <w:p w14:paraId="1AE679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w:t>
            </w:r>
            <w:r w:rsidRPr="0030693C">
              <w:rPr>
                <w:rFonts w:ascii="Source Sans Pro" w:eastAsia="Arial" w:hAnsi="Source Sans Pro" w:cs="Arial"/>
                <w:color w:val="000000"/>
                <w:sz w:val="20"/>
                <w:szCs w:val="20"/>
              </w:rPr>
              <w:lastRenderedPageBreak/>
              <w:t>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6D0009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 </w:t>
            </w:r>
          </w:p>
        </w:tc>
      </w:tr>
      <w:tr w:rsidR="00964C26" w14:paraId="2B449F87" w14:textId="77777777">
        <w:tc>
          <w:tcPr>
            <w:tcW w:w="3120" w:type="dxa"/>
            <w:tcBorders>
              <w:top w:val="outset" w:sz="6" w:space="0" w:color="auto"/>
              <w:left w:val="outset" w:sz="6" w:space="0" w:color="auto"/>
              <w:bottom w:val="outset" w:sz="6" w:space="0" w:color="auto"/>
              <w:right w:val="outset" w:sz="6" w:space="0" w:color="auto"/>
            </w:tcBorders>
          </w:tcPr>
          <w:p w14:paraId="09E87A7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study full-time or part-time or to change rate of study</w:t>
            </w:r>
          </w:p>
        </w:tc>
        <w:tc>
          <w:tcPr>
            <w:tcW w:w="3405" w:type="dxa"/>
            <w:tcBorders>
              <w:top w:val="outset" w:sz="6" w:space="0" w:color="auto"/>
              <w:left w:val="outset" w:sz="6" w:space="0" w:color="auto"/>
              <w:bottom w:val="outset" w:sz="6" w:space="0" w:color="auto"/>
              <w:right w:val="outset" w:sz="6" w:space="0" w:color="auto"/>
            </w:tcBorders>
          </w:tcPr>
          <w:p w14:paraId="36AF9F0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A74509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9011F9B" w14:textId="77777777">
        <w:tc>
          <w:tcPr>
            <w:tcW w:w="3120" w:type="dxa"/>
            <w:tcBorders>
              <w:top w:val="outset" w:sz="6" w:space="0" w:color="auto"/>
              <w:left w:val="outset" w:sz="6" w:space="0" w:color="auto"/>
              <w:bottom w:val="outset" w:sz="6" w:space="0" w:color="auto"/>
              <w:right w:val="outset" w:sz="6" w:space="0" w:color="auto"/>
            </w:tcBorders>
          </w:tcPr>
          <w:p w14:paraId="02A8BC6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Grant an extension of candidature</w:t>
            </w:r>
          </w:p>
        </w:tc>
        <w:tc>
          <w:tcPr>
            <w:tcW w:w="3405" w:type="dxa"/>
            <w:tcBorders>
              <w:top w:val="outset" w:sz="6" w:space="0" w:color="auto"/>
              <w:left w:val="outset" w:sz="6" w:space="0" w:color="auto"/>
              <w:bottom w:val="outset" w:sz="6" w:space="0" w:color="auto"/>
              <w:right w:val="outset" w:sz="6" w:space="0" w:color="auto"/>
            </w:tcBorders>
          </w:tcPr>
          <w:p w14:paraId="1E4FDA3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of the relevant faculty or 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874197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Extensions may be granted up to the maximum EFT RTP allowance</w:t>
            </w:r>
          </w:p>
        </w:tc>
      </w:tr>
      <w:tr w:rsidR="00964C26" w14:paraId="6EBC3AF8" w14:textId="77777777">
        <w:tc>
          <w:tcPr>
            <w:tcW w:w="3120" w:type="dxa"/>
            <w:tcBorders>
              <w:top w:val="outset" w:sz="6" w:space="0" w:color="auto"/>
              <w:left w:val="outset" w:sz="6" w:space="0" w:color="auto"/>
              <w:bottom w:val="outset" w:sz="6" w:space="0" w:color="auto"/>
              <w:right w:val="outset" w:sz="6" w:space="0" w:color="auto"/>
            </w:tcBorders>
          </w:tcPr>
          <w:p w14:paraId="5B26341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Confirmation of supervisory arrangements</w:t>
            </w:r>
          </w:p>
          <w:p w14:paraId="63A8DB0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change of supervisor</w:t>
            </w:r>
          </w:p>
        </w:tc>
        <w:tc>
          <w:tcPr>
            <w:tcW w:w="3405" w:type="dxa"/>
            <w:tcBorders>
              <w:top w:val="outset" w:sz="6" w:space="0" w:color="auto"/>
              <w:left w:val="outset" w:sz="6" w:space="0" w:color="auto"/>
              <w:bottom w:val="outset" w:sz="6" w:space="0" w:color="auto"/>
              <w:right w:val="outset" w:sz="6" w:space="0" w:color="auto"/>
            </w:tcBorders>
          </w:tcPr>
          <w:p w14:paraId="5FE672E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 and head of department</w:t>
            </w:r>
          </w:p>
          <w:p w14:paraId="26D2007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616806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52C0DA1" w14:textId="77777777">
        <w:tc>
          <w:tcPr>
            <w:tcW w:w="3120" w:type="dxa"/>
            <w:tcBorders>
              <w:top w:val="outset" w:sz="6" w:space="0" w:color="auto"/>
              <w:left w:val="outset" w:sz="6" w:space="0" w:color="auto"/>
              <w:bottom w:val="outset" w:sz="6" w:space="0" w:color="auto"/>
              <w:right w:val="outset" w:sz="6" w:space="0" w:color="auto"/>
            </w:tcBorders>
          </w:tcPr>
          <w:p w14:paraId="462F22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Agreeing schedule of supervisory meetings</w:t>
            </w:r>
          </w:p>
        </w:tc>
        <w:tc>
          <w:tcPr>
            <w:tcW w:w="3405" w:type="dxa"/>
            <w:tcBorders>
              <w:top w:val="outset" w:sz="6" w:space="0" w:color="auto"/>
              <w:left w:val="outset" w:sz="6" w:space="0" w:color="auto"/>
              <w:bottom w:val="outset" w:sz="6" w:space="0" w:color="auto"/>
              <w:right w:val="outset" w:sz="6" w:space="0" w:color="auto"/>
            </w:tcBorders>
          </w:tcPr>
          <w:p w14:paraId="1951ED9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Candidates and supervisors</w:t>
            </w:r>
          </w:p>
        </w:tc>
        <w:tc>
          <w:tcPr>
            <w:tcW w:w="3585" w:type="dxa"/>
            <w:tcBorders>
              <w:top w:val="outset" w:sz="6" w:space="0" w:color="auto"/>
              <w:left w:val="outset" w:sz="6" w:space="0" w:color="auto"/>
              <w:bottom w:val="outset" w:sz="6" w:space="0" w:color="auto"/>
              <w:right w:val="outset" w:sz="6" w:space="0" w:color="auto"/>
            </w:tcBorders>
          </w:tcPr>
          <w:p w14:paraId="771469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8DBA04C" w14:textId="77777777">
        <w:tc>
          <w:tcPr>
            <w:tcW w:w="3120" w:type="dxa"/>
            <w:tcBorders>
              <w:top w:val="outset" w:sz="6" w:space="0" w:color="auto"/>
              <w:left w:val="outset" w:sz="6" w:space="0" w:color="auto"/>
              <w:bottom w:val="outset" w:sz="6" w:space="0" w:color="auto"/>
              <w:right w:val="outset" w:sz="6" w:space="0" w:color="auto"/>
            </w:tcBorders>
          </w:tcPr>
          <w:p w14:paraId="6613B4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Clarifying the requirements of satisfactory academic progress and confirmation</w:t>
            </w:r>
          </w:p>
        </w:tc>
        <w:tc>
          <w:tcPr>
            <w:tcW w:w="3405" w:type="dxa"/>
            <w:tcBorders>
              <w:top w:val="outset" w:sz="6" w:space="0" w:color="auto"/>
              <w:left w:val="outset" w:sz="6" w:space="0" w:color="auto"/>
              <w:bottom w:val="outset" w:sz="6" w:space="0" w:color="auto"/>
              <w:right w:val="outset" w:sz="6" w:space="0" w:color="auto"/>
            </w:tcBorders>
          </w:tcPr>
          <w:p w14:paraId="1D0CEC9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advisory committees</w:t>
            </w:r>
          </w:p>
        </w:tc>
        <w:tc>
          <w:tcPr>
            <w:tcW w:w="3585" w:type="dxa"/>
            <w:tcBorders>
              <w:top w:val="outset" w:sz="6" w:space="0" w:color="auto"/>
              <w:left w:val="outset" w:sz="6" w:space="0" w:color="auto"/>
              <w:bottom w:val="outset" w:sz="6" w:space="0" w:color="auto"/>
              <w:right w:val="outset" w:sz="6" w:space="0" w:color="auto"/>
            </w:tcBorders>
          </w:tcPr>
          <w:p w14:paraId="13DDA3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91E51C2" w14:textId="77777777">
        <w:tc>
          <w:tcPr>
            <w:tcW w:w="3120" w:type="dxa"/>
            <w:tcBorders>
              <w:top w:val="outset" w:sz="6" w:space="0" w:color="auto"/>
              <w:left w:val="outset" w:sz="6" w:space="0" w:color="auto"/>
              <w:bottom w:val="outset" w:sz="6" w:space="0" w:color="auto"/>
              <w:right w:val="outset" w:sz="6" w:space="0" w:color="auto"/>
            </w:tcBorders>
          </w:tcPr>
          <w:p w14:paraId="5CA155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Monitor and report candidates academic progress</w:t>
            </w:r>
          </w:p>
        </w:tc>
        <w:tc>
          <w:tcPr>
            <w:tcW w:w="3405" w:type="dxa"/>
            <w:tcBorders>
              <w:top w:val="outset" w:sz="6" w:space="0" w:color="auto"/>
              <w:left w:val="outset" w:sz="6" w:space="0" w:color="auto"/>
              <w:bottom w:val="outset" w:sz="6" w:space="0" w:color="auto"/>
              <w:right w:val="outset" w:sz="6" w:space="0" w:color="auto"/>
            </w:tcBorders>
          </w:tcPr>
          <w:p w14:paraId="345FE3E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advisory committees</w:t>
            </w:r>
          </w:p>
        </w:tc>
        <w:tc>
          <w:tcPr>
            <w:tcW w:w="3585" w:type="dxa"/>
            <w:tcBorders>
              <w:top w:val="outset" w:sz="6" w:space="0" w:color="auto"/>
              <w:left w:val="outset" w:sz="6" w:space="0" w:color="auto"/>
              <w:bottom w:val="outset" w:sz="6" w:space="0" w:color="auto"/>
              <w:right w:val="outset" w:sz="6" w:space="0" w:color="auto"/>
            </w:tcBorders>
          </w:tcPr>
          <w:p w14:paraId="5DB6CE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52514E9" w14:textId="77777777">
        <w:tc>
          <w:tcPr>
            <w:tcW w:w="3120" w:type="dxa"/>
            <w:tcBorders>
              <w:top w:val="outset" w:sz="6" w:space="0" w:color="auto"/>
              <w:left w:val="outset" w:sz="6" w:space="0" w:color="auto"/>
              <w:bottom w:val="outset" w:sz="6" w:space="0" w:color="auto"/>
              <w:right w:val="outset" w:sz="6" w:space="0" w:color="auto"/>
            </w:tcBorders>
          </w:tcPr>
          <w:p w14:paraId="2B3360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change of department for candidature</w:t>
            </w:r>
          </w:p>
        </w:tc>
        <w:tc>
          <w:tcPr>
            <w:tcW w:w="3405" w:type="dxa"/>
            <w:tcBorders>
              <w:top w:val="outset" w:sz="6" w:space="0" w:color="auto"/>
              <w:left w:val="outset" w:sz="6" w:space="0" w:color="auto"/>
              <w:bottom w:val="outset" w:sz="6" w:space="0" w:color="auto"/>
              <w:right w:val="outset" w:sz="6" w:space="0" w:color="auto"/>
            </w:tcBorders>
          </w:tcPr>
          <w:p w14:paraId="6CFEBE3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3D3886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5F797C58" w14:textId="77777777">
        <w:tc>
          <w:tcPr>
            <w:tcW w:w="3120" w:type="dxa"/>
            <w:tcBorders>
              <w:top w:val="outset" w:sz="6" w:space="0" w:color="auto"/>
              <w:left w:val="outset" w:sz="6" w:space="0" w:color="auto"/>
              <w:bottom w:val="outset" w:sz="6" w:space="0" w:color="auto"/>
              <w:right w:val="outset" w:sz="6" w:space="0" w:color="auto"/>
            </w:tcBorders>
          </w:tcPr>
          <w:p w14:paraId="5AA016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Extend probationary period</w:t>
            </w:r>
          </w:p>
        </w:tc>
        <w:tc>
          <w:tcPr>
            <w:tcW w:w="3405" w:type="dxa"/>
            <w:tcBorders>
              <w:top w:val="outset" w:sz="6" w:space="0" w:color="auto"/>
              <w:left w:val="outset" w:sz="6" w:space="0" w:color="auto"/>
              <w:bottom w:val="outset" w:sz="6" w:space="0" w:color="auto"/>
              <w:right w:val="outset" w:sz="6" w:space="0" w:color="auto"/>
            </w:tcBorders>
          </w:tcPr>
          <w:p w14:paraId="4A91964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4E3EEF9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041CE32" w14:textId="77777777">
        <w:tc>
          <w:tcPr>
            <w:tcW w:w="3120" w:type="dxa"/>
            <w:tcBorders>
              <w:top w:val="outset" w:sz="6" w:space="0" w:color="auto"/>
              <w:left w:val="outset" w:sz="6" w:space="0" w:color="auto"/>
              <w:bottom w:val="outset" w:sz="6" w:space="0" w:color="auto"/>
              <w:right w:val="outset" w:sz="6" w:space="0" w:color="auto"/>
            </w:tcBorders>
          </w:tcPr>
          <w:p w14:paraId="52A420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additional coursework</w:t>
            </w:r>
          </w:p>
        </w:tc>
        <w:tc>
          <w:tcPr>
            <w:tcW w:w="3405" w:type="dxa"/>
            <w:tcBorders>
              <w:top w:val="outset" w:sz="6" w:space="0" w:color="auto"/>
              <w:left w:val="outset" w:sz="6" w:space="0" w:color="auto"/>
              <w:bottom w:val="outset" w:sz="6" w:space="0" w:color="auto"/>
              <w:right w:val="outset" w:sz="6" w:space="0" w:color="auto"/>
            </w:tcBorders>
          </w:tcPr>
          <w:p w14:paraId="7D8645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subject coordinator</w:t>
            </w:r>
          </w:p>
        </w:tc>
        <w:tc>
          <w:tcPr>
            <w:tcW w:w="3585" w:type="dxa"/>
            <w:tcBorders>
              <w:top w:val="outset" w:sz="6" w:space="0" w:color="auto"/>
              <w:left w:val="outset" w:sz="6" w:space="0" w:color="auto"/>
              <w:bottom w:val="outset" w:sz="6" w:space="0" w:color="auto"/>
              <w:right w:val="outset" w:sz="6" w:space="0" w:color="auto"/>
            </w:tcBorders>
          </w:tcPr>
          <w:p w14:paraId="2316798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Any approvals must not cause the candidate to exceed the maximum coursework allowed under RTP conditions of grants or one third of the usual course duration.</w:t>
            </w:r>
          </w:p>
        </w:tc>
      </w:tr>
      <w:tr w:rsidR="00964C26" w14:paraId="63C378F9" w14:textId="77777777">
        <w:tc>
          <w:tcPr>
            <w:tcW w:w="3120" w:type="dxa"/>
            <w:tcBorders>
              <w:top w:val="outset" w:sz="6" w:space="0" w:color="auto"/>
              <w:left w:val="outset" w:sz="6" w:space="0" w:color="auto"/>
              <w:bottom w:val="outset" w:sz="6" w:space="0" w:color="auto"/>
              <w:right w:val="outset" w:sz="6" w:space="0" w:color="auto"/>
            </w:tcBorders>
          </w:tcPr>
          <w:p w14:paraId="679021F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Placement of candidates at outside institutions</w:t>
            </w:r>
          </w:p>
        </w:tc>
        <w:tc>
          <w:tcPr>
            <w:tcW w:w="3405" w:type="dxa"/>
            <w:tcBorders>
              <w:top w:val="outset" w:sz="6" w:space="0" w:color="auto"/>
              <w:left w:val="outset" w:sz="6" w:space="0" w:color="auto"/>
              <w:bottom w:val="outset" w:sz="6" w:space="0" w:color="auto"/>
              <w:right w:val="outset" w:sz="6" w:space="0" w:color="auto"/>
            </w:tcBorders>
          </w:tcPr>
          <w:p w14:paraId="1F72E2D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575D0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an approved outside institution unless agreed by HDRC</w:t>
            </w:r>
          </w:p>
        </w:tc>
      </w:tr>
      <w:tr w:rsidR="00964C26" w14:paraId="4B9A81DE" w14:textId="77777777">
        <w:tc>
          <w:tcPr>
            <w:tcW w:w="3120" w:type="dxa"/>
            <w:tcBorders>
              <w:top w:val="outset" w:sz="6" w:space="0" w:color="auto"/>
              <w:left w:val="outset" w:sz="6" w:space="0" w:color="auto"/>
              <w:bottom w:val="outset" w:sz="6" w:space="0" w:color="auto"/>
              <w:right w:val="outset" w:sz="6" w:space="0" w:color="auto"/>
            </w:tcBorders>
          </w:tcPr>
          <w:p w14:paraId="5D04D2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outside institutions</w:t>
            </w:r>
          </w:p>
        </w:tc>
        <w:tc>
          <w:tcPr>
            <w:tcW w:w="3405" w:type="dxa"/>
            <w:tcBorders>
              <w:top w:val="outset" w:sz="6" w:space="0" w:color="auto"/>
              <w:left w:val="outset" w:sz="6" w:space="0" w:color="auto"/>
              <w:bottom w:val="outset" w:sz="6" w:space="0" w:color="auto"/>
              <w:right w:val="outset" w:sz="6" w:space="0" w:color="auto"/>
            </w:tcBorders>
          </w:tcPr>
          <w:p w14:paraId="1CFD33F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3585" w:type="dxa"/>
            <w:tcBorders>
              <w:top w:val="outset" w:sz="6" w:space="0" w:color="auto"/>
              <w:left w:val="outset" w:sz="6" w:space="0" w:color="auto"/>
              <w:bottom w:val="outset" w:sz="6" w:space="0" w:color="auto"/>
              <w:right w:val="outset" w:sz="6" w:space="0" w:color="auto"/>
            </w:tcBorders>
          </w:tcPr>
          <w:p w14:paraId="38C07D7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33523EB" w14:textId="77777777">
        <w:tc>
          <w:tcPr>
            <w:tcW w:w="3120" w:type="dxa"/>
            <w:tcBorders>
              <w:top w:val="outset" w:sz="6" w:space="0" w:color="auto"/>
              <w:left w:val="outset" w:sz="6" w:space="0" w:color="auto"/>
              <w:bottom w:val="outset" w:sz="6" w:space="0" w:color="auto"/>
              <w:right w:val="outset" w:sz="6" w:space="0" w:color="auto"/>
            </w:tcBorders>
          </w:tcPr>
          <w:p w14:paraId="0175059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study away from the University</w:t>
            </w:r>
          </w:p>
        </w:tc>
        <w:tc>
          <w:tcPr>
            <w:tcW w:w="3405" w:type="dxa"/>
            <w:tcBorders>
              <w:top w:val="outset" w:sz="6" w:space="0" w:color="auto"/>
              <w:left w:val="outset" w:sz="6" w:space="0" w:color="auto"/>
              <w:bottom w:val="outset" w:sz="6" w:space="0" w:color="auto"/>
              <w:right w:val="outset" w:sz="6" w:space="0" w:color="auto"/>
            </w:tcBorders>
          </w:tcPr>
          <w:p w14:paraId="0164CAA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2BE224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Must be in accordance with the relevant section of this policy and </w:t>
            </w:r>
            <w:hyperlink r:id="rId42" w:history="1">
              <w:r w:rsidRPr="0030693C">
                <w:rPr>
                  <w:rFonts w:ascii="Source Sans Pro" w:eastAsia="Arial" w:hAnsi="Source Sans Pro" w:cs="Arial"/>
                  <w:color w:val="0000FF"/>
                  <w:sz w:val="20"/>
                  <w:szCs w:val="20"/>
                  <w:u w:val="single"/>
                </w:rPr>
                <w:t>Student Travel and Transport Policy</w:t>
              </w:r>
            </w:hyperlink>
          </w:p>
        </w:tc>
      </w:tr>
      <w:tr w:rsidR="00964C26" w14:paraId="6FD4173B" w14:textId="77777777">
        <w:tc>
          <w:tcPr>
            <w:tcW w:w="3120" w:type="dxa"/>
            <w:tcBorders>
              <w:top w:val="outset" w:sz="6" w:space="0" w:color="auto"/>
              <w:left w:val="outset" w:sz="6" w:space="0" w:color="auto"/>
              <w:bottom w:val="outset" w:sz="6" w:space="0" w:color="auto"/>
              <w:right w:val="outset" w:sz="6" w:space="0" w:color="auto"/>
            </w:tcBorders>
          </w:tcPr>
          <w:p w14:paraId="48AFA2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Assign an external supervisor to candidates who have approval to study away from the University</w:t>
            </w:r>
          </w:p>
        </w:tc>
        <w:tc>
          <w:tcPr>
            <w:tcW w:w="3405" w:type="dxa"/>
            <w:tcBorders>
              <w:top w:val="outset" w:sz="6" w:space="0" w:color="auto"/>
              <w:left w:val="outset" w:sz="6" w:space="0" w:color="auto"/>
              <w:bottom w:val="outset" w:sz="6" w:space="0" w:color="auto"/>
              <w:right w:val="outset" w:sz="6" w:space="0" w:color="auto"/>
            </w:tcBorders>
          </w:tcPr>
          <w:p w14:paraId="1501E20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44896F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08586227" w14:textId="77777777">
        <w:tc>
          <w:tcPr>
            <w:tcW w:w="3120" w:type="dxa"/>
            <w:tcBorders>
              <w:top w:val="outset" w:sz="6" w:space="0" w:color="auto"/>
              <w:left w:val="outset" w:sz="6" w:space="0" w:color="auto"/>
              <w:bottom w:val="outset" w:sz="6" w:space="0" w:color="auto"/>
              <w:right w:val="outset" w:sz="6" w:space="0" w:color="auto"/>
            </w:tcBorders>
          </w:tcPr>
          <w:p w14:paraId="368C37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lapse</w:t>
            </w:r>
          </w:p>
        </w:tc>
        <w:tc>
          <w:tcPr>
            <w:tcW w:w="3405" w:type="dxa"/>
            <w:tcBorders>
              <w:top w:val="outset" w:sz="6" w:space="0" w:color="auto"/>
              <w:left w:val="outset" w:sz="6" w:space="0" w:color="auto"/>
              <w:bottom w:val="outset" w:sz="6" w:space="0" w:color="auto"/>
              <w:right w:val="outset" w:sz="6" w:space="0" w:color="auto"/>
            </w:tcBorders>
          </w:tcPr>
          <w:p w14:paraId="3C40005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of the relevant faculty or senior academic staff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E5B1C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220B424" w14:textId="77777777">
        <w:tc>
          <w:tcPr>
            <w:tcW w:w="3120" w:type="dxa"/>
            <w:tcBorders>
              <w:top w:val="outset" w:sz="6" w:space="0" w:color="auto"/>
              <w:left w:val="outset" w:sz="6" w:space="0" w:color="auto"/>
              <w:bottom w:val="outset" w:sz="6" w:space="0" w:color="auto"/>
              <w:right w:val="outset" w:sz="6" w:space="0" w:color="auto"/>
            </w:tcBorders>
            <w:vAlign w:val="center"/>
          </w:tcPr>
          <w:p w14:paraId="41BA38F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make a late submission</w:t>
            </w:r>
          </w:p>
        </w:tc>
        <w:tc>
          <w:tcPr>
            <w:tcW w:w="3405" w:type="dxa"/>
            <w:tcBorders>
              <w:top w:val="outset" w:sz="6" w:space="0" w:color="auto"/>
              <w:left w:val="outset" w:sz="6" w:space="0" w:color="auto"/>
              <w:bottom w:val="outset" w:sz="6" w:space="0" w:color="auto"/>
              <w:right w:val="outset" w:sz="6" w:space="0" w:color="auto"/>
            </w:tcBorders>
            <w:vAlign w:val="center"/>
          </w:tcPr>
          <w:p w14:paraId="20289B4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Late Submission Panel, chaired by the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 decision of the Late Submission Panel is a decision of the dean</w:t>
            </w:r>
          </w:p>
        </w:tc>
        <w:tc>
          <w:tcPr>
            <w:tcW w:w="3585" w:type="dxa"/>
            <w:tcBorders>
              <w:top w:val="outset" w:sz="6" w:space="0" w:color="auto"/>
              <w:left w:val="outset" w:sz="6" w:space="0" w:color="auto"/>
              <w:bottom w:val="outset" w:sz="6" w:space="0" w:color="auto"/>
              <w:right w:val="outset" w:sz="6" w:space="0" w:color="auto"/>
            </w:tcBorders>
            <w:vAlign w:val="center"/>
          </w:tcPr>
          <w:p w14:paraId="50D8A4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51F751B" w14:textId="77777777">
        <w:tc>
          <w:tcPr>
            <w:tcW w:w="3120" w:type="dxa"/>
            <w:tcBorders>
              <w:top w:val="outset" w:sz="6" w:space="0" w:color="auto"/>
              <w:left w:val="outset" w:sz="6" w:space="0" w:color="auto"/>
              <w:bottom w:val="outset" w:sz="6" w:space="0" w:color="auto"/>
              <w:right w:val="outset" w:sz="6" w:space="0" w:color="auto"/>
            </w:tcBorders>
            <w:vAlign w:val="center"/>
          </w:tcPr>
          <w:p w14:paraId="5BAB7A9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 xml:space="preserve">Grant a </w:t>
            </w:r>
            <w:proofErr w:type="gramStart"/>
            <w:r w:rsidRPr="0030693C">
              <w:rPr>
                <w:rFonts w:ascii="Source Sans Pro" w:eastAsia="Arial" w:hAnsi="Source Sans Pro" w:cs="Arial"/>
                <w:color w:val="000000"/>
                <w:sz w:val="20"/>
                <w:szCs w:val="20"/>
              </w:rPr>
              <w:t>10 business</w:t>
            </w:r>
            <w:proofErr w:type="gramEnd"/>
            <w:r w:rsidRPr="0030693C">
              <w:rPr>
                <w:rFonts w:ascii="Source Sans Pro" w:eastAsia="Arial" w:hAnsi="Source Sans Pro" w:cs="Arial"/>
                <w:color w:val="000000"/>
                <w:sz w:val="20"/>
                <w:szCs w:val="20"/>
              </w:rPr>
              <w:t xml:space="preserve"> day submission extension</w:t>
            </w:r>
          </w:p>
        </w:tc>
        <w:tc>
          <w:tcPr>
            <w:tcW w:w="3405" w:type="dxa"/>
            <w:tcBorders>
              <w:top w:val="outset" w:sz="6" w:space="0" w:color="auto"/>
              <w:left w:val="outset" w:sz="6" w:space="0" w:color="auto"/>
              <w:bottom w:val="outset" w:sz="6" w:space="0" w:color="auto"/>
              <w:right w:val="outset" w:sz="6" w:space="0" w:color="auto"/>
            </w:tcBorders>
            <w:vAlign w:val="center"/>
          </w:tcPr>
          <w:p w14:paraId="5C8B689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dean, or a senior academic staff member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6B396D3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notice of extension must be in writing and sent to the candidate; the principal supervisor and Student Administration.</w:t>
            </w:r>
          </w:p>
        </w:tc>
      </w:tr>
      <w:tr w:rsidR="00964C26" w14:paraId="36780734" w14:textId="77777777">
        <w:tc>
          <w:tcPr>
            <w:tcW w:w="3120" w:type="dxa"/>
            <w:tcBorders>
              <w:top w:val="outset" w:sz="6" w:space="0" w:color="auto"/>
              <w:left w:val="outset" w:sz="6" w:space="0" w:color="auto"/>
              <w:bottom w:val="outset" w:sz="6" w:space="0" w:color="auto"/>
              <w:right w:val="outset" w:sz="6" w:space="0" w:color="auto"/>
            </w:tcBorders>
            <w:vAlign w:val="center"/>
          </w:tcPr>
          <w:p w14:paraId="72DC412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Convene completion seminar panel</w:t>
            </w:r>
          </w:p>
        </w:tc>
        <w:tc>
          <w:tcPr>
            <w:tcW w:w="3405" w:type="dxa"/>
            <w:tcBorders>
              <w:top w:val="outset" w:sz="6" w:space="0" w:color="auto"/>
              <w:left w:val="outset" w:sz="6" w:space="0" w:color="auto"/>
              <w:bottom w:val="outset" w:sz="6" w:space="0" w:color="auto"/>
              <w:right w:val="outset" w:sz="6" w:space="0" w:color="auto"/>
            </w:tcBorders>
            <w:vAlign w:val="center"/>
          </w:tcPr>
          <w:p w14:paraId="06BD80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 or a professional staff member authorised to act.</w:t>
            </w:r>
          </w:p>
        </w:tc>
        <w:tc>
          <w:tcPr>
            <w:tcW w:w="3585" w:type="dxa"/>
            <w:tcBorders>
              <w:top w:val="outset" w:sz="6" w:space="0" w:color="auto"/>
              <w:left w:val="outset" w:sz="6" w:space="0" w:color="auto"/>
              <w:bottom w:val="outset" w:sz="6" w:space="0" w:color="auto"/>
              <w:right w:val="outset" w:sz="6" w:space="0" w:color="auto"/>
            </w:tcBorders>
            <w:vAlign w:val="center"/>
          </w:tcPr>
          <w:p w14:paraId="2EFCE2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8E09B49" w14:textId="77777777">
        <w:tc>
          <w:tcPr>
            <w:tcW w:w="3120" w:type="dxa"/>
            <w:tcBorders>
              <w:top w:val="outset" w:sz="6" w:space="0" w:color="auto"/>
              <w:left w:val="outset" w:sz="6" w:space="0" w:color="auto"/>
              <w:bottom w:val="outset" w:sz="6" w:space="0" w:color="auto"/>
              <w:right w:val="outset" w:sz="6" w:space="0" w:color="auto"/>
            </w:tcBorders>
            <w:vAlign w:val="center"/>
          </w:tcPr>
          <w:p w14:paraId="35B915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Lodgement of the completion seminar report</w:t>
            </w:r>
          </w:p>
        </w:tc>
        <w:tc>
          <w:tcPr>
            <w:tcW w:w="3405" w:type="dxa"/>
            <w:tcBorders>
              <w:top w:val="outset" w:sz="6" w:space="0" w:color="auto"/>
              <w:left w:val="outset" w:sz="6" w:space="0" w:color="auto"/>
              <w:bottom w:val="outset" w:sz="6" w:space="0" w:color="auto"/>
              <w:right w:val="outset" w:sz="6" w:space="0" w:color="auto"/>
            </w:tcBorders>
            <w:vAlign w:val="center"/>
          </w:tcPr>
          <w:p w14:paraId="187AD7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the completion seminar panel, or a professional staff member authorised by the chair to act.</w:t>
            </w:r>
          </w:p>
        </w:tc>
        <w:tc>
          <w:tcPr>
            <w:tcW w:w="3585" w:type="dxa"/>
            <w:tcBorders>
              <w:top w:val="outset" w:sz="6" w:space="0" w:color="auto"/>
              <w:left w:val="outset" w:sz="6" w:space="0" w:color="auto"/>
              <w:bottom w:val="outset" w:sz="6" w:space="0" w:color="auto"/>
              <w:right w:val="outset" w:sz="6" w:space="0" w:color="auto"/>
            </w:tcBorders>
            <w:vAlign w:val="center"/>
          </w:tcPr>
          <w:p w14:paraId="3BB84F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8ED61AA" w14:textId="77777777">
        <w:tc>
          <w:tcPr>
            <w:tcW w:w="3120" w:type="dxa"/>
            <w:tcBorders>
              <w:top w:val="outset" w:sz="6" w:space="0" w:color="auto"/>
              <w:left w:val="outset" w:sz="6" w:space="0" w:color="auto"/>
              <w:bottom w:val="outset" w:sz="6" w:space="0" w:color="auto"/>
              <w:right w:val="outset" w:sz="6" w:space="0" w:color="auto"/>
            </w:tcBorders>
          </w:tcPr>
          <w:p w14:paraId="4BB2103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Ensure supervisors meet the University’s registration requirements</w:t>
            </w:r>
          </w:p>
        </w:tc>
        <w:tc>
          <w:tcPr>
            <w:tcW w:w="3405" w:type="dxa"/>
            <w:tcBorders>
              <w:top w:val="outset" w:sz="6" w:space="0" w:color="auto"/>
              <w:left w:val="outset" w:sz="6" w:space="0" w:color="auto"/>
              <w:bottom w:val="outset" w:sz="6" w:space="0" w:color="auto"/>
              <w:right w:val="outset" w:sz="6" w:space="0" w:color="auto"/>
            </w:tcBorders>
          </w:tcPr>
          <w:p w14:paraId="0924FFE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6B78EB7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07FDDBE" w14:textId="77777777">
        <w:tc>
          <w:tcPr>
            <w:tcW w:w="3120" w:type="dxa"/>
            <w:tcBorders>
              <w:top w:val="outset" w:sz="6" w:space="0" w:color="auto"/>
              <w:left w:val="outset" w:sz="6" w:space="0" w:color="auto"/>
              <w:bottom w:val="outset" w:sz="6" w:space="0" w:color="auto"/>
              <w:right w:val="outset" w:sz="6" w:space="0" w:color="auto"/>
            </w:tcBorders>
          </w:tcPr>
          <w:p w14:paraId="65C863F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submit before the minimum enrolment period expires</w:t>
            </w:r>
          </w:p>
        </w:tc>
        <w:tc>
          <w:tcPr>
            <w:tcW w:w="3405" w:type="dxa"/>
            <w:tcBorders>
              <w:top w:val="outset" w:sz="6" w:space="0" w:color="auto"/>
              <w:left w:val="outset" w:sz="6" w:space="0" w:color="auto"/>
              <w:bottom w:val="outset" w:sz="6" w:space="0" w:color="auto"/>
              <w:right w:val="outset" w:sz="6" w:space="0" w:color="auto"/>
            </w:tcBorders>
          </w:tcPr>
          <w:p w14:paraId="53AEDC5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HDRC, or the chair of HDRC on its behalf</w:t>
            </w:r>
          </w:p>
        </w:tc>
        <w:tc>
          <w:tcPr>
            <w:tcW w:w="3585" w:type="dxa"/>
            <w:tcBorders>
              <w:top w:val="outset" w:sz="6" w:space="0" w:color="auto"/>
              <w:left w:val="outset" w:sz="6" w:space="0" w:color="auto"/>
              <w:bottom w:val="outset" w:sz="6" w:space="0" w:color="auto"/>
              <w:right w:val="outset" w:sz="6" w:space="0" w:color="auto"/>
            </w:tcBorders>
          </w:tcPr>
          <w:p w14:paraId="7647832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504AADD" w14:textId="77777777">
        <w:tc>
          <w:tcPr>
            <w:tcW w:w="3120" w:type="dxa"/>
            <w:tcBorders>
              <w:top w:val="outset" w:sz="6" w:space="0" w:color="auto"/>
              <w:left w:val="outset" w:sz="6" w:space="0" w:color="auto"/>
              <w:bottom w:val="outset" w:sz="6" w:space="0" w:color="auto"/>
              <w:right w:val="outset" w:sz="6" w:space="0" w:color="auto"/>
            </w:tcBorders>
          </w:tcPr>
          <w:p w14:paraId="346A82B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for thesis to proceed to examination</w:t>
            </w:r>
          </w:p>
        </w:tc>
        <w:tc>
          <w:tcPr>
            <w:tcW w:w="3405" w:type="dxa"/>
            <w:tcBorders>
              <w:top w:val="outset" w:sz="6" w:space="0" w:color="auto"/>
              <w:left w:val="outset" w:sz="6" w:space="0" w:color="auto"/>
              <w:bottom w:val="outset" w:sz="6" w:space="0" w:color="auto"/>
              <w:right w:val="outset" w:sz="6" w:space="0" w:color="auto"/>
            </w:tcBorders>
          </w:tcPr>
          <w:p w14:paraId="75246A6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Candidate’s supervisors and head of department and/or chair of examiners</w:t>
            </w:r>
          </w:p>
        </w:tc>
        <w:tc>
          <w:tcPr>
            <w:tcW w:w="3585" w:type="dxa"/>
            <w:tcBorders>
              <w:top w:val="outset" w:sz="6" w:space="0" w:color="auto"/>
              <w:left w:val="outset" w:sz="6" w:space="0" w:color="auto"/>
              <w:bottom w:val="outset" w:sz="6" w:space="0" w:color="auto"/>
              <w:right w:val="outset" w:sz="6" w:space="0" w:color="auto"/>
            </w:tcBorders>
          </w:tcPr>
          <w:p w14:paraId="11131B2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Where approval is not given, thesis to be reviewed by a sub-committee of HDRC</w:t>
            </w:r>
          </w:p>
        </w:tc>
      </w:tr>
      <w:tr w:rsidR="00964C26" w14:paraId="19E6E953" w14:textId="77777777">
        <w:tc>
          <w:tcPr>
            <w:tcW w:w="3120" w:type="dxa"/>
            <w:tcBorders>
              <w:top w:val="outset" w:sz="6" w:space="0" w:color="auto"/>
              <w:left w:val="outset" w:sz="6" w:space="0" w:color="auto"/>
              <w:bottom w:val="outset" w:sz="6" w:space="0" w:color="auto"/>
              <w:right w:val="outset" w:sz="6" w:space="0" w:color="auto"/>
            </w:tcBorders>
          </w:tcPr>
          <w:p w14:paraId="3F1BAD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Administering the examination</w:t>
            </w:r>
          </w:p>
        </w:tc>
        <w:tc>
          <w:tcPr>
            <w:tcW w:w="3405" w:type="dxa"/>
            <w:tcBorders>
              <w:top w:val="outset" w:sz="6" w:space="0" w:color="auto"/>
              <w:left w:val="outset" w:sz="6" w:space="0" w:color="auto"/>
              <w:bottom w:val="outset" w:sz="6" w:space="0" w:color="auto"/>
              <w:right w:val="outset" w:sz="6" w:space="0" w:color="auto"/>
            </w:tcBorders>
          </w:tcPr>
          <w:p w14:paraId="23C925E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Registrar or a person authorised by the Academic Registrar to act</w:t>
            </w:r>
          </w:p>
        </w:tc>
        <w:tc>
          <w:tcPr>
            <w:tcW w:w="3585" w:type="dxa"/>
            <w:tcBorders>
              <w:top w:val="outset" w:sz="6" w:space="0" w:color="auto"/>
              <w:left w:val="outset" w:sz="6" w:space="0" w:color="auto"/>
              <w:bottom w:val="outset" w:sz="6" w:space="0" w:color="auto"/>
              <w:right w:val="outset" w:sz="6" w:space="0" w:color="auto"/>
            </w:tcBorders>
          </w:tcPr>
          <w:p w14:paraId="76C0ED2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The examination of music recitals </w:t>
            </w:r>
            <w:proofErr w:type="gramStart"/>
            <w:r w:rsidRPr="0030693C">
              <w:rPr>
                <w:rFonts w:ascii="Source Sans Pro" w:eastAsia="Arial" w:hAnsi="Source Sans Pro" w:cs="Arial"/>
                <w:color w:val="000000"/>
                <w:sz w:val="20"/>
                <w:szCs w:val="20"/>
              </w:rPr>
              <w:t>are</w:t>
            </w:r>
            <w:proofErr w:type="gramEnd"/>
            <w:r w:rsidRPr="0030693C">
              <w:rPr>
                <w:rFonts w:ascii="Source Sans Pro" w:eastAsia="Arial" w:hAnsi="Source Sans Pro" w:cs="Arial"/>
                <w:color w:val="000000"/>
                <w:sz w:val="20"/>
                <w:szCs w:val="20"/>
              </w:rPr>
              <w:t xml:space="preserve"> administered by the relevant dean.</w:t>
            </w:r>
          </w:p>
          <w:p w14:paraId="62560AB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relevant dean must administer the examination of higher doctorates</w:t>
            </w:r>
          </w:p>
        </w:tc>
      </w:tr>
      <w:tr w:rsidR="00964C26" w14:paraId="77C5934C" w14:textId="77777777">
        <w:tc>
          <w:tcPr>
            <w:tcW w:w="3120" w:type="dxa"/>
            <w:tcBorders>
              <w:top w:val="outset" w:sz="6" w:space="0" w:color="auto"/>
              <w:left w:val="outset" w:sz="6" w:space="0" w:color="auto"/>
              <w:bottom w:val="outset" w:sz="6" w:space="0" w:color="auto"/>
              <w:right w:val="outset" w:sz="6" w:space="0" w:color="auto"/>
            </w:tcBorders>
          </w:tcPr>
          <w:p w14:paraId="4A91E7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Nomination of examiners</w:t>
            </w:r>
          </w:p>
        </w:tc>
        <w:tc>
          <w:tcPr>
            <w:tcW w:w="3405" w:type="dxa"/>
            <w:tcBorders>
              <w:top w:val="outset" w:sz="6" w:space="0" w:color="auto"/>
              <w:left w:val="outset" w:sz="6" w:space="0" w:color="auto"/>
              <w:bottom w:val="outset" w:sz="6" w:space="0" w:color="auto"/>
              <w:right w:val="outset" w:sz="6" w:space="0" w:color="auto"/>
            </w:tcBorders>
          </w:tcPr>
          <w:p w14:paraId="5A7944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793B6CB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in accordance with the relevant section of this policy</w:t>
            </w:r>
          </w:p>
        </w:tc>
      </w:tr>
      <w:tr w:rsidR="00964C26" w14:paraId="446D9883" w14:textId="77777777">
        <w:tc>
          <w:tcPr>
            <w:tcW w:w="3120" w:type="dxa"/>
            <w:tcBorders>
              <w:top w:val="outset" w:sz="6" w:space="0" w:color="auto"/>
              <w:left w:val="outset" w:sz="6" w:space="0" w:color="auto"/>
              <w:bottom w:val="outset" w:sz="6" w:space="0" w:color="auto"/>
              <w:right w:val="outset" w:sz="6" w:space="0" w:color="auto"/>
            </w:tcBorders>
          </w:tcPr>
          <w:p w14:paraId="71B0B215" w14:textId="48BDAB95"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Examining the thesis or </w:t>
            </w:r>
            <w:r w:rsidR="008C5FAA">
              <w:rPr>
                <w:rFonts w:ascii="Source Sans Pro" w:eastAsia="Arial" w:hAnsi="Source Sans Pro" w:cs="Arial"/>
                <w:color w:val="000000"/>
                <w:sz w:val="20"/>
                <w:szCs w:val="20"/>
              </w:rPr>
              <w:t>compilation</w:t>
            </w:r>
          </w:p>
        </w:tc>
        <w:tc>
          <w:tcPr>
            <w:tcW w:w="3405" w:type="dxa"/>
            <w:tcBorders>
              <w:top w:val="outset" w:sz="6" w:space="0" w:color="auto"/>
              <w:left w:val="outset" w:sz="6" w:space="0" w:color="auto"/>
              <w:bottom w:val="outset" w:sz="6" w:space="0" w:color="auto"/>
              <w:right w:val="outset" w:sz="6" w:space="0" w:color="auto"/>
            </w:tcBorders>
          </w:tcPr>
          <w:p w14:paraId="22ACC9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Examiners</w:t>
            </w:r>
          </w:p>
        </w:tc>
        <w:tc>
          <w:tcPr>
            <w:tcW w:w="3585" w:type="dxa"/>
            <w:tcBorders>
              <w:top w:val="outset" w:sz="6" w:space="0" w:color="auto"/>
              <w:left w:val="outset" w:sz="6" w:space="0" w:color="auto"/>
              <w:bottom w:val="outset" w:sz="6" w:space="0" w:color="auto"/>
              <w:right w:val="outset" w:sz="6" w:space="0" w:color="auto"/>
            </w:tcBorders>
          </w:tcPr>
          <w:p w14:paraId="59CDBA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754D1AE7" w14:textId="77777777">
        <w:tc>
          <w:tcPr>
            <w:tcW w:w="3120" w:type="dxa"/>
            <w:tcBorders>
              <w:top w:val="outset" w:sz="6" w:space="0" w:color="auto"/>
              <w:left w:val="outset" w:sz="6" w:space="0" w:color="auto"/>
              <w:bottom w:val="outset" w:sz="6" w:space="0" w:color="auto"/>
              <w:right w:val="outset" w:sz="6" w:space="0" w:color="auto"/>
            </w:tcBorders>
          </w:tcPr>
          <w:p w14:paraId="3B80AC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Administering oral examination</w:t>
            </w:r>
          </w:p>
        </w:tc>
        <w:tc>
          <w:tcPr>
            <w:tcW w:w="3405" w:type="dxa"/>
            <w:tcBorders>
              <w:top w:val="outset" w:sz="6" w:space="0" w:color="auto"/>
              <w:left w:val="outset" w:sz="6" w:space="0" w:color="auto"/>
              <w:bottom w:val="outset" w:sz="6" w:space="0" w:color="auto"/>
              <w:right w:val="outset" w:sz="6" w:space="0" w:color="auto"/>
            </w:tcBorders>
          </w:tcPr>
          <w:p w14:paraId="527360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2F373DD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8C0D03C" w14:textId="77777777">
        <w:tc>
          <w:tcPr>
            <w:tcW w:w="3120" w:type="dxa"/>
            <w:tcBorders>
              <w:top w:val="outset" w:sz="6" w:space="0" w:color="auto"/>
              <w:left w:val="outset" w:sz="6" w:space="0" w:color="auto"/>
              <w:bottom w:val="outset" w:sz="6" w:space="0" w:color="auto"/>
              <w:right w:val="outset" w:sz="6" w:space="0" w:color="auto"/>
            </w:tcBorders>
          </w:tcPr>
          <w:p w14:paraId="2A0E05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Managing and administering a re-examination after a finding of academic misconduct</w:t>
            </w:r>
          </w:p>
        </w:tc>
        <w:tc>
          <w:tcPr>
            <w:tcW w:w="3405" w:type="dxa"/>
            <w:tcBorders>
              <w:top w:val="outset" w:sz="6" w:space="0" w:color="auto"/>
              <w:left w:val="outset" w:sz="6" w:space="0" w:color="auto"/>
              <w:bottom w:val="outset" w:sz="6" w:space="0" w:color="auto"/>
              <w:right w:val="outset" w:sz="6" w:space="0" w:color="auto"/>
            </w:tcBorders>
          </w:tcPr>
          <w:p w14:paraId="76E3DA2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1E34C04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DD78739" w14:textId="77777777">
        <w:tc>
          <w:tcPr>
            <w:tcW w:w="3120" w:type="dxa"/>
            <w:tcBorders>
              <w:top w:val="outset" w:sz="6" w:space="0" w:color="auto"/>
              <w:left w:val="outset" w:sz="6" w:space="0" w:color="auto"/>
              <w:bottom w:val="outset" w:sz="6" w:space="0" w:color="auto"/>
              <w:right w:val="outset" w:sz="6" w:space="0" w:color="auto"/>
            </w:tcBorders>
          </w:tcPr>
          <w:p w14:paraId="48017E5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Approve restricted access to theses</w:t>
            </w:r>
          </w:p>
        </w:tc>
        <w:tc>
          <w:tcPr>
            <w:tcW w:w="3405" w:type="dxa"/>
            <w:tcBorders>
              <w:top w:val="outset" w:sz="6" w:space="0" w:color="auto"/>
              <w:left w:val="outset" w:sz="6" w:space="0" w:color="auto"/>
              <w:bottom w:val="outset" w:sz="6" w:space="0" w:color="auto"/>
              <w:right w:val="outset" w:sz="6" w:space="0" w:color="auto"/>
            </w:tcBorders>
          </w:tcPr>
          <w:p w14:paraId="7C58A2B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Pro Vice-Chancellor (Graduate and International Research)</w:t>
            </w:r>
          </w:p>
        </w:tc>
        <w:tc>
          <w:tcPr>
            <w:tcW w:w="3585" w:type="dxa"/>
            <w:tcBorders>
              <w:top w:val="outset" w:sz="6" w:space="0" w:color="auto"/>
              <w:left w:val="outset" w:sz="6" w:space="0" w:color="auto"/>
              <w:bottom w:val="outset" w:sz="6" w:space="0" w:color="auto"/>
              <w:right w:val="outset" w:sz="6" w:space="0" w:color="auto"/>
            </w:tcBorders>
          </w:tcPr>
          <w:p w14:paraId="6F6697B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bl>
    <w:p w14:paraId="606B68A7" w14:textId="77777777" w:rsidR="00964C26" w:rsidRDefault="009F0C94" w:rsidP="0030693C">
      <w:pPr>
        <w:pStyle w:val="MPLHeading1"/>
      </w:pPr>
      <w:r>
        <w:t>Definitions</w:t>
      </w:r>
    </w:p>
    <w:p w14:paraId="139AAB6F" w14:textId="77777777" w:rsidR="00964C26" w:rsidRDefault="009F0C94" w:rsidP="0030693C">
      <w:pPr>
        <w:pStyle w:val="MPLParapgrah"/>
        <w:rPr>
          <w:rFonts w:eastAsia="Arial"/>
        </w:rPr>
      </w:pPr>
      <w:r>
        <w:rPr>
          <w:rFonts w:eastAsia="Arial"/>
          <w:b/>
          <w:bCs/>
        </w:rPr>
        <w:t xml:space="preserve">"absent without leave" </w:t>
      </w:r>
      <w:r>
        <w:rPr>
          <w:rFonts w:eastAsia="Arial"/>
        </w:rPr>
        <w:t>is a status assigned to</w:t>
      </w:r>
      <w:r>
        <w:rPr>
          <w:rFonts w:eastAsia="Arial"/>
          <w:b/>
          <w:bCs/>
        </w:rPr>
        <w:t xml:space="preserve"> </w:t>
      </w:r>
      <w:r>
        <w:rPr>
          <w:rFonts w:eastAsia="Arial"/>
        </w:rPr>
        <w:t xml:space="preserve">a </w:t>
      </w:r>
      <w:proofErr w:type="gramStart"/>
      <w:r>
        <w:rPr>
          <w:rFonts w:eastAsia="Arial"/>
        </w:rPr>
        <w:t>candidate  who</w:t>
      </w:r>
      <w:proofErr w:type="gramEnd"/>
      <w:r>
        <w:rPr>
          <w:rFonts w:eastAsia="Arial"/>
        </w:rPr>
        <w:t xml:space="preserve"> is not enrolled for a period of twelve months, and who has not had any status changes to their study plan for a period of twelve months and who has not been granted leave of absence.</w:t>
      </w:r>
    </w:p>
    <w:p w14:paraId="2FAF6FDB" w14:textId="77777777" w:rsidR="00964C26" w:rsidRDefault="009F0C94" w:rsidP="0030693C">
      <w:pPr>
        <w:pStyle w:val="MPLParapgrah"/>
        <w:rPr>
          <w:rFonts w:eastAsia="Arial"/>
        </w:rPr>
      </w:pPr>
      <w:r>
        <w:rPr>
          <w:rFonts w:eastAsia="Arial"/>
          <w:b/>
          <w:bCs/>
        </w:rPr>
        <w:t xml:space="preserve">“advisory committee” </w:t>
      </w:r>
      <w:r>
        <w:rPr>
          <w:rFonts w:eastAsia="Arial"/>
        </w:rPr>
        <w:t>is a committee appointed by the head of department in which the candidate is enrolled.</w:t>
      </w:r>
    </w:p>
    <w:p w14:paraId="7862F6AD" w14:textId="77777777" w:rsidR="00964C26" w:rsidRDefault="009F0C94" w:rsidP="0030693C">
      <w:pPr>
        <w:pStyle w:val="MPLParapgrah"/>
        <w:rPr>
          <w:rFonts w:eastAsia="Arial"/>
        </w:rPr>
      </w:pPr>
      <w:r>
        <w:rPr>
          <w:rFonts w:eastAsia="Arial"/>
          <w:b/>
          <w:bCs/>
        </w:rPr>
        <w:t xml:space="preserve">“award course” </w:t>
      </w:r>
      <w:r>
        <w:rPr>
          <w:rFonts w:eastAsia="Arial"/>
        </w:rPr>
        <w:t>means a program of study formally approved/accredited by the Board which leads to an academic award granted by the University.</w:t>
      </w:r>
    </w:p>
    <w:p w14:paraId="079E4E0D" w14:textId="77777777" w:rsidR="00964C26" w:rsidRDefault="009F0C94" w:rsidP="0030693C">
      <w:pPr>
        <w:pStyle w:val="MPLParapgrah"/>
        <w:rPr>
          <w:rFonts w:eastAsia="Arial"/>
        </w:rPr>
      </w:pPr>
      <w:r>
        <w:rPr>
          <w:rFonts w:eastAsia="Arial"/>
          <w:b/>
          <w:bCs/>
        </w:rPr>
        <w:t xml:space="preserve">“Board” </w:t>
      </w:r>
      <w:r>
        <w:rPr>
          <w:rFonts w:eastAsia="Arial"/>
        </w:rPr>
        <w:t>means the Academic Board of the University of Melbourne.</w:t>
      </w:r>
    </w:p>
    <w:p w14:paraId="5F24FE4B" w14:textId="77777777" w:rsidR="00964C26" w:rsidRDefault="009F0C94" w:rsidP="0030693C">
      <w:pPr>
        <w:pStyle w:val="MPLParapgrah"/>
        <w:rPr>
          <w:rFonts w:eastAsia="Arial"/>
        </w:rPr>
      </w:pPr>
      <w:r>
        <w:rPr>
          <w:rFonts w:eastAsia="Arial"/>
          <w:b/>
          <w:bCs/>
        </w:rPr>
        <w:t xml:space="preserve">“candidate” </w:t>
      </w:r>
      <w:r>
        <w:rPr>
          <w:rFonts w:eastAsia="Arial"/>
        </w:rPr>
        <w:t xml:space="preserve">means any person admitted to and enrolled in a planned course of research leading to a graduate research course at the University of Melbourne. A candidate is a student </w:t>
      </w:r>
      <w:proofErr w:type="gramStart"/>
      <w:r>
        <w:rPr>
          <w:rFonts w:eastAsia="Arial"/>
        </w:rPr>
        <w:t>of</w:t>
      </w:r>
      <w:proofErr w:type="gramEnd"/>
      <w:r>
        <w:rPr>
          <w:rFonts w:eastAsia="Arial"/>
        </w:rPr>
        <w:t xml:space="preserve"> the University.</w:t>
      </w:r>
    </w:p>
    <w:p w14:paraId="293C7E94" w14:textId="77777777" w:rsidR="00964C26" w:rsidRDefault="009F0C94" w:rsidP="0030693C">
      <w:pPr>
        <w:pStyle w:val="MPLParapgrah"/>
        <w:rPr>
          <w:rFonts w:eastAsia="Arial"/>
        </w:rPr>
      </w:pPr>
      <w:r>
        <w:rPr>
          <w:rFonts w:eastAsia="Arial"/>
          <w:b/>
          <w:bCs/>
        </w:rPr>
        <w:t xml:space="preserve">“candidature” </w:t>
      </w:r>
      <w:r>
        <w:rPr>
          <w:rFonts w:eastAsia="Arial"/>
        </w:rPr>
        <w:t xml:space="preserve">means the period of study towards the graduate research course being the period from the date of commencement until the end of enrolment based on successful completion of all </w:t>
      </w:r>
      <w:r>
        <w:rPr>
          <w:rFonts w:eastAsia="Arial"/>
        </w:rPr>
        <w:lastRenderedPageBreak/>
        <w:t>coursework and mandatory training completed satisfactorily leading to lodgement for thesis examination (after which time the candidate holds the status of 'Under Examination’) or until the candidature is terminated or the candidate withdraws, but excludes periods spent on leave of absence or lapsed.</w:t>
      </w:r>
    </w:p>
    <w:p w14:paraId="10D0CCDC" w14:textId="77777777" w:rsidR="00964C26" w:rsidRDefault="009F0C94" w:rsidP="0030693C">
      <w:pPr>
        <w:pStyle w:val="MPLParapgrah"/>
        <w:rPr>
          <w:rFonts w:eastAsia="Arial"/>
        </w:rPr>
      </w:pPr>
      <w:r>
        <w:rPr>
          <w:rFonts w:eastAsia="Arial"/>
          <w:b/>
          <w:bCs/>
        </w:rPr>
        <w:t xml:space="preserve">“chair of examiners” </w:t>
      </w:r>
      <w:r>
        <w:rPr>
          <w:rFonts w:eastAsia="Arial"/>
        </w:rPr>
        <w:t>means a member of academic staff in the candidate’s department appointed to oversee the results of the examination of a graduate research thesis.</w:t>
      </w:r>
    </w:p>
    <w:p w14:paraId="354FC646" w14:textId="77777777" w:rsidR="00964C26" w:rsidRDefault="009F0C94" w:rsidP="0030693C">
      <w:pPr>
        <w:pStyle w:val="MPLParapgrah"/>
        <w:rPr>
          <w:rFonts w:eastAsia="Arial"/>
        </w:rPr>
      </w:pPr>
      <w:r>
        <w:rPr>
          <w:rFonts w:eastAsia="Arial"/>
          <w:b/>
          <w:bCs/>
        </w:rPr>
        <w:t xml:space="preserve">“compilation” </w:t>
      </w:r>
      <w:r>
        <w:rPr>
          <w:rFonts w:eastAsia="Arial"/>
        </w:rPr>
        <w:t>means a collection of prior work, either published or unpublished, submitted for examination of a non-</w:t>
      </w:r>
      <w:proofErr w:type="gramStart"/>
      <w:r>
        <w:rPr>
          <w:rFonts w:eastAsia="Arial"/>
        </w:rPr>
        <w:t>time based</w:t>
      </w:r>
      <w:proofErr w:type="gramEnd"/>
      <w:r>
        <w:rPr>
          <w:rFonts w:eastAsia="Arial"/>
        </w:rPr>
        <w:t xml:space="preserve"> course.</w:t>
      </w:r>
    </w:p>
    <w:p w14:paraId="507647AA" w14:textId="77777777" w:rsidR="00964C26" w:rsidRDefault="009F0C94" w:rsidP="0030693C">
      <w:pPr>
        <w:pStyle w:val="MPLParapgrah"/>
        <w:rPr>
          <w:rFonts w:eastAsia="Arial"/>
        </w:rPr>
      </w:pPr>
      <w:r>
        <w:rPr>
          <w:rFonts w:eastAsia="Arial"/>
          <w:b/>
          <w:bCs/>
        </w:rPr>
        <w:t>“</w:t>
      </w:r>
      <w:proofErr w:type="gramStart"/>
      <w:r>
        <w:rPr>
          <w:rFonts w:eastAsia="Arial"/>
          <w:b/>
          <w:bCs/>
        </w:rPr>
        <w:t>commercial</w:t>
      </w:r>
      <w:proofErr w:type="gramEnd"/>
      <w:r>
        <w:rPr>
          <w:rFonts w:eastAsia="Arial"/>
          <w:b/>
          <w:bCs/>
        </w:rPr>
        <w:t xml:space="preserve">-in-confidence” </w:t>
      </w:r>
      <w:r>
        <w:rPr>
          <w:rFonts w:eastAsia="Arial"/>
        </w:rPr>
        <w:t>means material of a sensitive or confidential nature which has possible patent, trademarks or intellectual property implications.</w:t>
      </w:r>
    </w:p>
    <w:p w14:paraId="64A83599" w14:textId="77777777" w:rsidR="00964C26" w:rsidRDefault="009F0C94" w:rsidP="0030693C">
      <w:pPr>
        <w:pStyle w:val="MPLParapgrah"/>
        <w:rPr>
          <w:rFonts w:eastAsia="Arial"/>
        </w:rPr>
      </w:pPr>
      <w:r>
        <w:rPr>
          <w:rFonts w:eastAsia="Arial"/>
          <w:b/>
          <w:bCs/>
        </w:rPr>
        <w:t xml:space="preserve">“course” </w:t>
      </w:r>
      <w:r>
        <w:rPr>
          <w:rFonts w:eastAsia="Arial"/>
        </w:rPr>
        <w:t xml:space="preserve">means a degree, </w:t>
      </w:r>
      <w:proofErr w:type="gramStart"/>
      <w:r>
        <w:rPr>
          <w:rFonts w:eastAsia="Arial"/>
        </w:rPr>
        <w:t>diploma</w:t>
      </w:r>
      <w:proofErr w:type="gramEnd"/>
      <w:r>
        <w:rPr>
          <w:rFonts w:eastAsia="Arial"/>
        </w:rPr>
        <w:t xml:space="preserve"> or other award.</w:t>
      </w:r>
    </w:p>
    <w:p w14:paraId="0C038471" w14:textId="52BF1BF1" w:rsidR="00964C26" w:rsidRDefault="009F0C94" w:rsidP="0030693C">
      <w:pPr>
        <w:pStyle w:val="MPLParapgrah"/>
        <w:rPr>
          <w:rFonts w:eastAsia="Arial"/>
        </w:rPr>
      </w:pPr>
      <w:r>
        <w:rPr>
          <w:rFonts w:eastAsia="Arial"/>
          <w:b/>
          <w:bCs/>
        </w:rPr>
        <w:t>“</w:t>
      </w:r>
      <w:proofErr w:type="gramStart"/>
      <w:r>
        <w:rPr>
          <w:rFonts w:eastAsia="Arial"/>
          <w:b/>
          <w:bCs/>
        </w:rPr>
        <w:t>creative</w:t>
      </w:r>
      <w:proofErr w:type="gramEnd"/>
      <w:r>
        <w:rPr>
          <w:rFonts w:eastAsia="Arial"/>
          <w:b/>
          <w:bCs/>
        </w:rPr>
        <w:t xml:space="preserve"> work” </w:t>
      </w:r>
      <w:r>
        <w:rPr>
          <w:rFonts w:eastAsia="Arial"/>
        </w:rPr>
        <w:t xml:space="preserve">means performance, musical composition, exhibition, writing (poetry, fiction, script or other written literary forms), design, film, video, </w:t>
      </w:r>
      <w:r w:rsidR="003E2E89">
        <w:rPr>
          <w:rFonts w:eastAsia="Arial"/>
        </w:rPr>
        <w:t>e-</w:t>
      </w:r>
      <w:proofErr w:type="spellStart"/>
      <w:r w:rsidR="003E2E89">
        <w:rPr>
          <w:rFonts w:eastAsia="Arial"/>
        </w:rPr>
        <w:t>porfolio</w:t>
      </w:r>
      <w:proofErr w:type="spellEnd"/>
      <w:r w:rsidR="003E2E89">
        <w:rPr>
          <w:rFonts w:eastAsia="Arial"/>
        </w:rPr>
        <w:t xml:space="preserve"> or website, </w:t>
      </w:r>
      <w:r>
        <w:rPr>
          <w:rFonts w:eastAsia="Arial"/>
        </w:rPr>
        <w:t>multimedia or other new media technologies and modes of presentation.</w:t>
      </w:r>
    </w:p>
    <w:p w14:paraId="7DFC8AD6" w14:textId="77777777" w:rsidR="00964C26" w:rsidRDefault="009F0C94" w:rsidP="0030693C">
      <w:pPr>
        <w:pStyle w:val="MPLParapgrah"/>
        <w:rPr>
          <w:rFonts w:eastAsia="Arial"/>
        </w:rPr>
      </w:pPr>
      <w:r>
        <w:rPr>
          <w:rFonts w:eastAsia="Arial"/>
          <w:b/>
          <w:bCs/>
        </w:rPr>
        <w:t xml:space="preserve">“department” </w:t>
      </w:r>
      <w:r>
        <w:rPr>
          <w:rFonts w:eastAsia="Arial"/>
        </w:rPr>
        <w:t>means the academic department, school or research centre that has responsibility for the candidate.</w:t>
      </w:r>
    </w:p>
    <w:p w14:paraId="5C671EE3" w14:textId="77777777" w:rsidR="00964C26" w:rsidRDefault="009F0C94" w:rsidP="0030693C">
      <w:pPr>
        <w:pStyle w:val="MPLParapgrah"/>
        <w:rPr>
          <w:rFonts w:eastAsia="Arial"/>
        </w:rPr>
      </w:pPr>
      <w:r>
        <w:rPr>
          <w:rFonts w:eastAsia="Arial"/>
          <w:b/>
          <w:bCs/>
        </w:rPr>
        <w:t>“exceptional circumstances”</w:t>
      </w:r>
      <w:r>
        <w:rPr>
          <w:rFonts w:eastAsia="Arial"/>
        </w:rPr>
        <w:t xml:space="preserve"> means circumstances which impact timing of the seminar, which could be "special circumstances" or availability of the panel or location of the candidate.</w:t>
      </w:r>
    </w:p>
    <w:p w14:paraId="7B18E113" w14:textId="77777777" w:rsidR="00964C26" w:rsidRDefault="009F0C94" w:rsidP="0030693C">
      <w:pPr>
        <w:pStyle w:val="MPLParapgrah"/>
        <w:rPr>
          <w:rFonts w:eastAsia="Arial"/>
        </w:rPr>
      </w:pPr>
      <w:r>
        <w:rPr>
          <w:rFonts w:eastAsia="Arial"/>
          <w:b/>
          <w:bCs/>
        </w:rPr>
        <w:t>“expected course duration”</w:t>
      </w:r>
      <w:r>
        <w:rPr>
          <w:rFonts w:eastAsia="Arial"/>
        </w:rPr>
        <w:t xml:space="preserve"> means the expected time for completion of a course expressed in full-time years.</w:t>
      </w:r>
    </w:p>
    <w:p w14:paraId="047F845A" w14:textId="77777777" w:rsidR="00964C26" w:rsidRDefault="009F0C94" w:rsidP="0030693C">
      <w:pPr>
        <w:pStyle w:val="MPLParapgrah"/>
        <w:rPr>
          <w:rFonts w:eastAsia="Arial"/>
        </w:rPr>
      </w:pPr>
      <w:r>
        <w:rPr>
          <w:rFonts w:eastAsia="Arial"/>
          <w:b/>
          <w:bCs/>
        </w:rPr>
        <w:t xml:space="preserve">“Handbook” </w:t>
      </w:r>
      <w:r>
        <w:rPr>
          <w:rFonts w:eastAsia="Arial"/>
        </w:rPr>
        <w:t>means the official University publication of all current course and subject information.</w:t>
      </w:r>
    </w:p>
    <w:p w14:paraId="2B051A48" w14:textId="77777777" w:rsidR="00964C26" w:rsidRDefault="009F0C94" w:rsidP="0030693C">
      <w:pPr>
        <w:pStyle w:val="MPLParapgrah"/>
        <w:rPr>
          <w:rFonts w:eastAsia="Arial"/>
        </w:rPr>
      </w:pPr>
      <w:r>
        <w:rPr>
          <w:rFonts w:eastAsia="Arial"/>
          <w:b/>
          <w:bCs/>
        </w:rPr>
        <w:t>“Late submission”</w:t>
      </w:r>
      <w:r>
        <w:rPr>
          <w:rFonts w:eastAsia="Arial"/>
        </w:rPr>
        <w:t xml:space="preserve"> is a period of up to two years beyond the maximum course duration granted by a late Submission Panel acting as the dean, to a candidate under specific conditions.</w:t>
      </w:r>
    </w:p>
    <w:p w14:paraId="7DCE0EB9" w14:textId="77777777" w:rsidR="00964C26" w:rsidRDefault="009F0C94" w:rsidP="0030693C">
      <w:pPr>
        <w:pStyle w:val="MPLParapgrah"/>
        <w:rPr>
          <w:rFonts w:eastAsia="Arial"/>
        </w:rPr>
      </w:pPr>
      <w:r>
        <w:rPr>
          <w:rFonts w:eastAsia="Arial"/>
          <w:b/>
          <w:bCs/>
        </w:rPr>
        <w:t>“Maximum course duration”</w:t>
      </w:r>
      <w:r>
        <w:rPr>
          <w:rFonts w:eastAsia="Arial"/>
        </w:rPr>
        <w:t xml:space="preserve"> for graduate research courses is expressed in full time years, and is calculated based on the expected course duration, allowing for part time enrolment in coursework degrees and RTP in research degrees. In research degrees it is also adjusted to take account of periods of leave.</w:t>
      </w:r>
    </w:p>
    <w:p w14:paraId="6517D5DA" w14:textId="77777777" w:rsidR="00964C26" w:rsidRDefault="009F0C94" w:rsidP="0030693C">
      <w:pPr>
        <w:pStyle w:val="MPLParapgrah"/>
        <w:rPr>
          <w:rFonts w:eastAsia="Arial"/>
        </w:rPr>
      </w:pPr>
      <w:r>
        <w:rPr>
          <w:rFonts w:eastAsia="Arial"/>
          <w:b/>
          <w:bCs/>
        </w:rPr>
        <w:t xml:space="preserve">“Maximum submission date” </w:t>
      </w:r>
      <w:r>
        <w:rPr>
          <w:rFonts w:eastAsia="Arial"/>
        </w:rPr>
        <w:t>also referred to as the maximum time to submit, means the maximum number of years allowed to submit a thesis or dissertation for examination, and to undertake any other examination components, for graduate research courses taking into account an allowance for late submission.</w:t>
      </w:r>
    </w:p>
    <w:p w14:paraId="5E73F5C5" w14:textId="77777777" w:rsidR="00964C26" w:rsidRDefault="009F0C94" w:rsidP="0030693C">
      <w:pPr>
        <w:pStyle w:val="MPLParapgrah"/>
        <w:rPr>
          <w:rFonts w:eastAsia="Arial"/>
        </w:rPr>
      </w:pPr>
      <w:r>
        <w:rPr>
          <w:rFonts w:eastAsia="Arial"/>
          <w:b/>
          <w:bCs/>
        </w:rPr>
        <w:t>“Pass with revision (</w:t>
      </w:r>
      <w:proofErr w:type="spellStart"/>
      <w:r>
        <w:rPr>
          <w:rFonts w:eastAsia="Arial"/>
          <w:b/>
          <w:bCs/>
        </w:rPr>
        <w:t>CoE</w:t>
      </w:r>
      <w:proofErr w:type="spellEnd"/>
      <w:r>
        <w:rPr>
          <w:rFonts w:eastAsia="Arial"/>
          <w:b/>
          <w:bCs/>
        </w:rPr>
        <w:t xml:space="preserve">)” </w:t>
      </w:r>
      <w:r>
        <w:rPr>
          <w:rFonts w:eastAsia="Arial"/>
        </w:rPr>
        <w:t>means the thesis may be passed, subject to the corrections being made to the Chair of Examiner’s satisfaction.</w:t>
      </w:r>
    </w:p>
    <w:p w14:paraId="21A85DC9" w14:textId="77777777" w:rsidR="00964C26" w:rsidRDefault="009F0C94" w:rsidP="0030693C">
      <w:pPr>
        <w:pStyle w:val="MPLParapgrah"/>
        <w:rPr>
          <w:rFonts w:eastAsia="Arial"/>
        </w:rPr>
      </w:pPr>
      <w:r>
        <w:rPr>
          <w:rFonts w:eastAsia="Arial"/>
          <w:b/>
          <w:bCs/>
        </w:rPr>
        <w:t xml:space="preserve">“Pass with revision (Examiner)” </w:t>
      </w:r>
      <w:r>
        <w:rPr>
          <w:rFonts w:eastAsia="Arial"/>
        </w:rPr>
        <w:t>means the thesis may be passed, subject to the corrections being made to the examiner’s satisfaction.</w:t>
      </w:r>
    </w:p>
    <w:p w14:paraId="5322ABFB" w14:textId="77777777" w:rsidR="00964C26" w:rsidRDefault="009F0C94" w:rsidP="0030693C">
      <w:pPr>
        <w:pStyle w:val="MPLParapgrah"/>
        <w:rPr>
          <w:rFonts w:eastAsia="Arial"/>
        </w:rPr>
      </w:pPr>
      <w:r>
        <w:rPr>
          <w:rFonts w:eastAsia="Arial"/>
          <w:b/>
          <w:bCs/>
        </w:rPr>
        <w:lastRenderedPageBreak/>
        <w:t>“Residency requirement”</w:t>
      </w:r>
      <w:r>
        <w:rPr>
          <w:rFonts w:eastAsia="Arial"/>
        </w:rPr>
        <w:t>- all candidates, including those who transfer from a graduate research course at another institution, must complete a minimum amount of study at the University of Melbourne unless studying at an approved outside institution - the requirement is 12 months for a doctoral candidate and 6 months for a masters candidate.</w:t>
      </w:r>
    </w:p>
    <w:p w14:paraId="742C8C5B" w14:textId="77777777" w:rsidR="00964C26" w:rsidRDefault="009F0C94" w:rsidP="0030693C">
      <w:pPr>
        <w:pStyle w:val="MPLParapgrah"/>
        <w:rPr>
          <w:rFonts w:eastAsia="Arial"/>
        </w:rPr>
      </w:pPr>
      <w:r>
        <w:rPr>
          <w:rFonts w:eastAsia="Arial"/>
          <w:b/>
          <w:bCs/>
        </w:rPr>
        <w:t>“special circumstances”</w:t>
      </w:r>
      <w:r>
        <w:rPr>
          <w:rFonts w:eastAsia="Arial"/>
        </w:rPr>
        <w:t xml:space="preserve"> means circumstances which significantly impact a candidate’s ability to undertake a completion seminar or undertake the seminar in the usual format, which could be due to, for example, illness, domestic violence, or hardship. </w:t>
      </w:r>
    </w:p>
    <w:p w14:paraId="6C116688" w14:textId="77777777" w:rsidR="00964C26" w:rsidRDefault="009F0C94" w:rsidP="0030693C">
      <w:pPr>
        <w:pStyle w:val="MPLParapgrah"/>
        <w:rPr>
          <w:rFonts w:eastAsia="Arial"/>
        </w:rPr>
      </w:pPr>
      <w:r>
        <w:rPr>
          <w:rFonts w:eastAsia="Arial"/>
          <w:b/>
          <w:bCs/>
        </w:rPr>
        <w:t xml:space="preserve">“supervisor” </w:t>
      </w:r>
      <w:r>
        <w:rPr>
          <w:rFonts w:eastAsia="Arial"/>
        </w:rPr>
        <w:t>means an appropriately qualified person who is responsible for the academic supervision of a graduate research course candidate.</w:t>
      </w:r>
    </w:p>
    <w:p w14:paraId="729769C3" w14:textId="77777777" w:rsidR="00964C26" w:rsidRDefault="009F0C94" w:rsidP="0030693C">
      <w:pPr>
        <w:pStyle w:val="MPLParapgrah"/>
        <w:rPr>
          <w:rFonts w:eastAsia="Arial"/>
        </w:rPr>
      </w:pPr>
      <w:r>
        <w:rPr>
          <w:rFonts w:eastAsia="Arial"/>
          <w:b/>
          <w:bCs/>
        </w:rPr>
        <w:t>“suspension”</w:t>
      </w:r>
      <w:r>
        <w:rPr>
          <w:rFonts w:eastAsia="Arial"/>
        </w:rPr>
        <w:t xml:space="preserve"> means the suspension of a candidate’s enrolment at the University for a specified period and exclusion from the University during this period without any right to enrol or re-enrol in any course or subject at the University, or any right to access University premises, facilities, services, activities, except with the consent of the Vice-Chancellor. At the end of the specified period the student's enrolment is reinstated unless otherwise requested by the student. Suspend has a corresponding meaning.</w:t>
      </w:r>
    </w:p>
    <w:p w14:paraId="35C14F82" w14:textId="42388EA9" w:rsidR="00964C26" w:rsidRPr="006673CB" w:rsidRDefault="009F0C94" w:rsidP="0030693C">
      <w:pPr>
        <w:pStyle w:val="MPLParapgrah"/>
        <w:rPr>
          <w:rFonts w:eastAsia="Arial"/>
        </w:rPr>
      </w:pPr>
      <w:r>
        <w:rPr>
          <w:rFonts w:eastAsia="Arial"/>
          <w:b/>
          <w:bCs/>
        </w:rPr>
        <w:t xml:space="preserve">“thesis” </w:t>
      </w:r>
      <w:r>
        <w:rPr>
          <w:rFonts w:eastAsia="Arial"/>
        </w:rPr>
        <w:t>means</w:t>
      </w:r>
      <w:r w:rsidR="008D2E83">
        <w:rPr>
          <w:rFonts w:eastAsia="Arial"/>
        </w:rPr>
        <w:t xml:space="preserve"> either 1)</w:t>
      </w:r>
      <w:r>
        <w:rPr>
          <w:rFonts w:eastAsia="Arial"/>
        </w:rPr>
        <w:t xml:space="preserve"> a dissertation embodying the results of original research and especially substantiating a specific view</w:t>
      </w:r>
      <w:r w:rsidR="008D2E83">
        <w:rPr>
          <w:rFonts w:eastAsia="Arial"/>
        </w:rPr>
        <w:t xml:space="preserve">; or </w:t>
      </w:r>
      <w:r w:rsidR="009B1DA0">
        <w:rPr>
          <w:rFonts w:eastAsia="Arial"/>
        </w:rPr>
        <w:t>2) comprising a creative work and dissertation which together embody the results of original research and especially substantiating a specific view</w:t>
      </w:r>
      <w:r>
        <w:rPr>
          <w:rFonts w:eastAsia="Arial"/>
        </w:rPr>
        <w:t>.</w:t>
      </w:r>
    </w:p>
    <w:p w14:paraId="5413F6D5" w14:textId="77777777" w:rsidR="00964C26" w:rsidRDefault="009F0C94" w:rsidP="0030693C">
      <w:pPr>
        <w:pStyle w:val="MPLParapgrah"/>
        <w:rPr>
          <w:rFonts w:eastAsia="Arial"/>
        </w:rPr>
      </w:pPr>
      <w:r>
        <w:rPr>
          <w:rFonts w:eastAsia="Arial"/>
          <w:b/>
          <w:bCs/>
        </w:rPr>
        <w:t xml:space="preserve">“University” </w:t>
      </w:r>
      <w:r>
        <w:rPr>
          <w:rFonts w:eastAsia="Arial"/>
        </w:rPr>
        <w:t>means the University of Melbourne. </w:t>
      </w:r>
    </w:p>
    <w:p w14:paraId="1CF12398" w14:textId="77777777" w:rsidR="00964C26" w:rsidRDefault="009F0C94" w:rsidP="0030693C">
      <w:pPr>
        <w:pStyle w:val="MPLNoNumberingHeadings"/>
      </w:pPr>
      <w:r>
        <w:t>POLICY APPROVER</w:t>
      </w:r>
    </w:p>
    <w:p w14:paraId="69EF4C5E"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p w14:paraId="1C519D4C" w14:textId="77777777" w:rsidR="00964C26" w:rsidRPr="0030693C" w:rsidRDefault="009F0C94" w:rsidP="0030693C">
      <w:pPr>
        <w:pStyle w:val="MPLNoNumberingHeadings"/>
      </w:pPr>
      <w:r w:rsidRPr="0030693C">
        <w:t>POLICY STEWARD</w:t>
      </w:r>
    </w:p>
    <w:p w14:paraId="020C3CB6"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p w14:paraId="2A81CC43" w14:textId="77777777" w:rsidR="00964C26" w:rsidRPr="0030693C" w:rsidRDefault="009F0C94" w:rsidP="0030693C">
      <w:pPr>
        <w:pStyle w:val="MPLNoNumberingHeadings"/>
      </w:pPr>
      <w:r w:rsidRPr="0030693C">
        <w:t>REVIEW</w:t>
      </w:r>
    </w:p>
    <w:p w14:paraId="5085FE6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This policy is to be reviewed by 22 October 2024.</w:t>
      </w:r>
    </w:p>
    <w:p w14:paraId="3F7CD07D" w14:textId="77777777" w:rsidR="00964C26" w:rsidRPr="0030693C" w:rsidRDefault="009F0C94" w:rsidP="0030693C">
      <w:pPr>
        <w:pStyle w:val="MPLNoNumberingHeadings"/>
      </w:pPr>
      <w:r w:rsidRPr="0030693C">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194"/>
        <w:gridCol w:w="1150"/>
        <w:gridCol w:w="1098"/>
        <w:gridCol w:w="4328"/>
      </w:tblGrid>
      <w:tr w:rsidR="00964C26" w:rsidRPr="0030693C" w14:paraId="54669C7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25731E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5622A41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09FCF3A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481BE8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1A4A54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Sections Modified</w:t>
            </w:r>
          </w:p>
        </w:tc>
      </w:tr>
      <w:tr w:rsidR="00964C26" w:rsidRPr="0030693C" w14:paraId="4F46C79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F8C85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w:t>
            </w:r>
          </w:p>
        </w:tc>
        <w:tc>
          <w:tcPr>
            <w:tcW w:w="0" w:type="auto"/>
            <w:tcBorders>
              <w:top w:val="outset" w:sz="6" w:space="0" w:color="auto"/>
              <w:left w:val="outset" w:sz="6" w:space="0" w:color="auto"/>
              <w:bottom w:val="outset" w:sz="6" w:space="0" w:color="auto"/>
              <w:right w:val="outset" w:sz="6" w:space="0" w:color="auto"/>
            </w:tcBorders>
            <w:vAlign w:val="center"/>
          </w:tcPr>
          <w:p w14:paraId="4CF1038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of the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5214F8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 July 2016</w:t>
            </w:r>
          </w:p>
        </w:tc>
        <w:tc>
          <w:tcPr>
            <w:tcW w:w="0" w:type="auto"/>
            <w:tcBorders>
              <w:top w:val="outset" w:sz="6" w:space="0" w:color="auto"/>
              <w:left w:val="outset" w:sz="6" w:space="0" w:color="auto"/>
              <w:bottom w:val="outset" w:sz="6" w:space="0" w:color="auto"/>
              <w:right w:val="outset" w:sz="6" w:space="0" w:color="auto"/>
            </w:tcBorders>
            <w:vAlign w:val="center"/>
          </w:tcPr>
          <w:p w14:paraId="79F591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5CD0BF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New policy arising from the revised Regulatory Framework and the Policy Consolidation Project (incorporating the former Statute 11.4 Unsatisfactory Progress as well as matters previously contained in the Examination of Graduate Research Students Policy MPF1207,  Examination of Graduate Research Students Procedure MPF1262, Preparation of Graduate Research Theses Procedure MPF1263, </w:t>
            </w:r>
            <w:r w:rsidRPr="0030693C">
              <w:rPr>
                <w:rFonts w:ascii="Source Sans Pro" w:eastAsia="Arial" w:hAnsi="Source Sans Pro" w:cs="Arial"/>
                <w:color w:val="000000"/>
                <w:sz w:val="20"/>
                <w:szCs w:val="20"/>
              </w:rPr>
              <w:lastRenderedPageBreak/>
              <w:t>Graduate Research Candidature Policy MPF1280, Graduate Research Candidature Procedure MPF1281, Graduate Research Progress Procedure MPF1264 and some matters previously in the Supervision of Research Higher Degree Students Policy MPF1244.</w:t>
            </w:r>
          </w:p>
        </w:tc>
      </w:tr>
      <w:tr w:rsidR="00964C26" w:rsidRPr="0030693C" w14:paraId="3759E47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696463B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14:paraId="4B525E9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32038B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2016</w:t>
            </w:r>
          </w:p>
        </w:tc>
        <w:tc>
          <w:tcPr>
            <w:tcW w:w="0" w:type="auto"/>
            <w:tcBorders>
              <w:top w:val="outset" w:sz="6" w:space="0" w:color="auto"/>
              <w:left w:val="outset" w:sz="6" w:space="0" w:color="auto"/>
              <w:bottom w:val="outset" w:sz="6" w:space="0" w:color="auto"/>
              <w:right w:val="outset" w:sz="6" w:space="0" w:color="auto"/>
            </w:tcBorders>
            <w:vAlign w:val="center"/>
          </w:tcPr>
          <w:p w14:paraId="4CF9E3B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2016</w:t>
            </w:r>
          </w:p>
        </w:tc>
        <w:tc>
          <w:tcPr>
            <w:tcW w:w="0" w:type="auto"/>
            <w:tcBorders>
              <w:top w:val="outset" w:sz="6" w:space="0" w:color="auto"/>
              <w:left w:val="outset" w:sz="6" w:space="0" w:color="auto"/>
              <w:bottom w:val="outset" w:sz="6" w:space="0" w:color="auto"/>
              <w:right w:val="outset" w:sz="6" w:space="0" w:color="auto"/>
            </w:tcBorders>
            <w:vAlign w:val="center"/>
          </w:tcPr>
          <w:p w14:paraId="29A198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Correction of error in section 5.48(c).</w:t>
            </w:r>
          </w:p>
        </w:tc>
      </w:tr>
      <w:tr w:rsidR="00964C26" w:rsidRPr="0030693C" w14:paraId="5551A632"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0E9EFC6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444E9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62CB6C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8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312113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January 2017</w:t>
            </w:r>
          </w:p>
        </w:tc>
        <w:tc>
          <w:tcPr>
            <w:tcW w:w="0" w:type="auto"/>
            <w:tcBorders>
              <w:top w:val="outset" w:sz="6" w:space="0" w:color="auto"/>
              <w:left w:val="outset" w:sz="6" w:space="0" w:color="auto"/>
              <w:bottom w:val="outset" w:sz="6" w:space="0" w:color="auto"/>
              <w:right w:val="outset" w:sz="6" w:space="0" w:color="auto"/>
            </w:tcBorders>
            <w:vAlign w:val="center"/>
          </w:tcPr>
          <w:p w14:paraId="5CEB98C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Change to number of supervisors required (to 2) comply with TEQSA standards. Change to  include secondary/review publications in a thesis (4.66)</w:t>
            </w:r>
          </w:p>
        </w:tc>
      </w:tr>
      <w:tr w:rsidR="00964C26" w:rsidRPr="0030693C" w14:paraId="13AEFF9D"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861AF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1686166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3115AD6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December 2015</w:t>
            </w:r>
          </w:p>
        </w:tc>
        <w:tc>
          <w:tcPr>
            <w:tcW w:w="0" w:type="auto"/>
            <w:tcBorders>
              <w:top w:val="outset" w:sz="6" w:space="0" w:color="auto"/>
              <w:left w:val="outset" w:sz="6" w:space="0" w:color="auto"/>
              <w:bottom w:val="outset" w:sz="6" w:space="0" w:color="auto"/>
              <w:right w:val="outset" w:sz="6" w:space="0" w:color="auto"/>
            </w:tcBorders>
            <w:vAlign w:val="center"/>
          </w:tcPr>
          <w:p w14:paraId="27AB2A2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January 2017</w:t>
            </w:r>
          </w:p>
        </w:tc>
        <w:tc>
          <w:tcPr>
            <w:tcW w:w="0" w:type="auto"/>
            <w:tcBorders>
              <w:top w:val="outset" w:sz="6" w:space="0" w:color="auto"/>
              <w:left w:val="outset" w:sz="6" w:space="0" w:color="auto"/>
              <w:bottom w:val="outset" w:sz="6" w:space="0" w:color="auto"/>
              <w:right w:val="outset" w:sz="6" w:space="0" w:color="auto"/>
            </w:tcBorders>
            <w:vAlign w:val="center"/>
          </w:tcPr>
          <w:p w14:paraId="6C7D082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Delete 4.82(c) requirement to submit a hard copy bound thesis. Amend wording at 4.129 to reflect different arrangements for restricting access.</w:t>
            </w:r>
          </w:p>
        </w:tc>
      </w:tr>
      <w:tr w:rsidR="00964C26" w:rsidRPr="0030693C" w14:paraId="4A5BC6C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B90E1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4018B60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0F0D0A7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 June 2017</w:t>
            </w:r>
          </w:p>
        </w:tc>
        <w:tc>
          <w:tcPr>
            <w:tcW w:w="0" w:type="auto"/>
            <w:tcBorders>
              <w:top w:val="outset" w:sz="6" w:space="0" w:color="auto"/>
              <w:left w:val="outset" w:sz="6" w:space="0" w:color="auto"/>
              <w:bottom w:val="outset" w:sz="6" w:space="0" w:color="auto"/>
              <w:right w:val="outset" w:sz="6" w:space="0" w:color="auto"/>
            </w:tcBorders>
            <w:vAlign w:val="center"/>
          </w:tcPr>
          <w:p w14:paraId="0257F0E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 June 2017</w:t>
            </w:r>
          </w:p>
        </w:tc>
        <w:tc>
          <w:tcPr>
            <w:tcW w:w="0" w:type="auto"/>
            <w:tcBorders>
              <w:top w:val="outset" w:sz="6" w:space="0" w:color="auto"/>
              <w:left w:val="outset" w:sz="6" w:space="0" w:color="auto"/>
              <w:bottom w:val="outset" w:sz="6" w:space="0" w:color="auto"/>
              <w:right w:val="outset" w:sz="6" w:space="0" w:color="auto"/>
            </w:tcBorders>
            <w:vAlign w:val="center"/>
          </w:tcPr>
          <w:p w14:paraId="02C13D5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3(h) change to correct name of the code; 4.8 and 4.32– changes to reflect change to name of funding scheme; Changes to reflect removal of lapsed category availability from 1 January 2018 and introduction of a late submission category at: 4.23(a); 4.49; delete 4.59 and 4.60 and consequent renumbering; add 4.59 (d) and consequent renumbering; 5.40(c); 5.51; 5.52; 5.54; 5.56; 5.88 and consequent renumbering; inclusion of a definition of maximum submission date. Addition of “permanently” at 4.61. Amendment to 3(h) change to correct name of the code;4.8 and 4.32– changes to reflect change to name of funding scheme; Changes to reflect removal of lapsed category availability from 1 January 2018 and introduction of a late submission category at: 4.23(a); 4.49; delete 4.59 and 4.60 and consequent renumbering; add 4.59 (d) and consequent renumbering; 5.40(c); 5.51; 5.52; 5.54; 5.56; 5.88 and consequent renumbering; inclusion of a definition of maximum submission date. Addition of “permanently” at 4.61.</w:t>
            </w:r>
          </w:p>
        </w:tc>
      </w:tr>
      <w:tr w:rsidR="00964C26" w:rsidRPr="0030693C" w14:paraId="5B824F3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DE6387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4107CC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478EBD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September 2017</w:t>
            </w:r>
          </w:p>
        </w:tc>
        <w:tc>
          <w:tcPr>
            <w:tcW w:w="0" w:type="auto"/>
            <w:tcBorders>
              <w:top w:val="outset" w:sz="6" w:space="0" w:color="auto"/>
              <w:left w:val="outset" w:sz="6" w:space="0" w:color="auto"/>
              <w:bottom w:val="outset" w:sz="6" w:space="0" w:color="auto"/>
              <w:right w:val="outset" w:sz="6" w:space="0" w:color="auto"/>
            </w:tcBorders>
            <w:vAlign w:val="center"/>
          </w:tcPr>
          <w:p w14:paraId="4A19D1D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5B9418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4.67 - To permit in progress articles to be included in research theses with clear acknowledgement of the publication status of article/s in the preface of the thesis.</w:t>
            </w:r>
          </w:p>
        </w:tc>
      </w:tr>
      <w:tr w:rsidR="00964C26" w:rsidRPr="0030693C" w14:paraId="55C175E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126436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23F3BBE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87B5FD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101857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November 2017</w:t>
            </w:r>
          </w:p>
        </w:tc>
        <w:tc>
          <w:tcPr>
            <w:tcW w:w="0" w:type="auto"/>
            <w:tcBorders>
              <w:top w:val="outset" w:sz="6" w:space="0" w:color="auto"/>
              <w:left w:val="outset" w:sz="6" w:space="0" w:color="auto"/>
              <w:bottom w:val="outset" w:sz="6" w:space="0" w:color="auto"/>
              <w:right w:val="outset" w:sz="6" w:space="0" w:color="auto"/>
            </w:tcBorders>
            <w:vAlign w:val="center"/>
          </w:tcPr>
          <w:p w14:paraId="10F302D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on late submission to allow for medical or personal reasons that have arisen during candidature to be grounds for late submission.</w:t>
            </w:r>
            <w:r w:rsidRPr="0030693C">
              <w:rPr>
                <w:rFonts w:ascii="Source Sans Pro" w:eastAsia="Arial" w:hAnsi="Source Sans Pro" w:cs="Arial"/>
                <w:color w:val="000000"/>
                <w:sz w:val="20"/>
                <w:szCs w:val="20"/>
              </w:rPr>
              <w:br/>
              <w:t>Includes procedural principles for considering late submission proposals.</w:t>
            </w:r>
            <w:r w:rsidRPr="0030693C">
              <w:rPr>
                <w:rFonts w:ascii="Source Sans Pro" w:eastAsia="Arial" w:hAnsi="Source Sans Pro" w:cs="Arial"/>
                <w:color w:val="000000"/>
                <w:sz w:val="20"/>
                <w:szCs w:val="20"/>
              </w:rPr>
              <w:br/>
            </w:r>
            <w:r w:rsidRPr="0030693C">
              <w:rPr>
                <w:rFonts w:ascii="Source Sans Pro" w:eastAsia="Arial" w:hAnsi="Source Sans Pro" w:cs="Arial"/>
                <w:color w:val="000000"/>
                <w:sz w:val="20"/>
                <w:szCs w:val="20"/>
              </w:rPr>
              <w:lastRenderedPageBreak/>
              <w:t>Update throughout to align with regulatory requirements for academic progress review e.g. throughout “progress” to read “academic progress”; and ensuring that academic progress review takes into account expected course duration.</w:t>
            </w:r>
            <w:r w:rsidRPr="0030693C">
              <w:rPr>
                <w:rFonts w:ascii="Source Sans Pro" w:eastAsia="Arial" w:hAnsi="Source Sans Pro" w:cs="Arial"/>
                <w:color w:val="000000"/>
                <w:sz w:val="20"/>
                <w:szCs w:val="20"/>
              </w:rPr>
              <w:br/>
              <w:t>Changes throughout to replace the head of department approval steps in nomination of examiners and thesis submissions with chair of examiners.</w:t>
            </w:r>
          </w:p>
        </w:tc>
      </w:tr>
      <w:tr w:rsidR="00964C26" w:rsidRPr="0030693C" w14:paraId="6D384163"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9D42F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8 </w:t>
            </w:r>
          </w:p>
        </w:tc>
        <w:tc>
          <w:tcPr>
            <w:tcW w:w="0" w:type="auto"/>
            <w:tcBorders>
              <w:top w:val="outset" w:sz="6" w:space="0" w:color="auto"/>
              <w:left w:val="outset" w:sz="6" w:space="0" w:color="auto"/>
              <w:bottom w:val="outset" w:sz="6" w:space="0" w:color="auto"/>
              <w:right w:val="outset" w:sz="6" w:space="0" w:color="auto"/>
            </w:tcBorders>
            <w:vAlign w:val="center"/>
          </w:tcPr>
          <w:p w14:paraId="5C2677E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4AD2D34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1500160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F59A5B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Made in error - never published</w:t>
            </w:r>
          </w:p>
        </w:tc>
      </w:tr>
      <w:tr w:rsidR="00964C26" w:rsidRPr="0030693C" w14:paraId="143A4B1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22316B3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w:t>
            </w:r>
          </w:p>
        </w:tc>
        <w:tc>
          <w:tcPr>
            <w:tcW w:w="0" w:type="auto"/>
            <w:tcBorders>
              <w:top w:val="outset" w:sz="6" w:space="0" w:color="auto"/>
              <w:left w:val="outset" w:sz="6" w:space="0" w:color="auto"/>
              <w:bottom w:val="outset" w:sz="6" w:space="0" w:color="auto"/>
              <w:right w:val="outset" w:sz="6" w:space="0" w:color="auto"/>
            </w:tcBorders>
            <w:vAlign w:val="center"/>
          </w:tcPr>
          <w:p w14:paraId="5CEB58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4B9EC01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243C47D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November 2017</w:t>
            </w:r>
          </w:p>
        </w:tc>
        <w:tc>
          <w:tcPr>
            <w:tcW w:w="0" w:type="auto"/>
            <w:tcBorders>
              <w:top w:val="outset" w:sz="6" w:space="0" w:color="auto"/>
              <w:left w:val="outset" w:sz="6" w:space="0" w:color="auto"/>
              <w:bottom w:val="outset" w:sz="6" w:space="0" w:color="auto"/>
              <w:right w:val="outset" w:sz="6" w:space="0" w:color="auto"/>
            </w:tcBorders>
            <w:vAlign w:val="center"/>
          </w:tcPr>
          <w:p w14:paraId="379CC4E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changes to fix typographical errors and correction to numbering reference at 4.120</w:t>
            </w:r>
          </w:p>
        </w:tc>
      </w:tr>
      <w:tr w:rsidR="00964C26" w:rsidRPr="0030693C" w14:paraId="6E5526F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1B5FE9F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49A00B3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1BDC00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621854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5A5E4A4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editorial changes to Information section made in error and corrected</w:t>
            </w:r>
          </w:p>
        </w:tc>
      </w:tr>
      <w:tr w:rsidR="00964C26" w:rsidRPr="0030693C" w14:paraId="37CC48A9"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3C3C3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1830826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806C4D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June 2018</w:t>
            </w:r>
          </w:p>
        </w:tc>
        <w:tc>
          <w:tcPr>
            <w:tcW w:w="0" w:type="auto"/>
            <w:tcBorders>
              <w:top w:val="outset" w:sz="6" w:space="0" w:color="auto"/>
              <w:left w:val="outset" w:sz="6" w:space="0" w:color="auto"/>
              <w:bottom w:val="outset" w:sz="6" w:space="0" w:color="auto"/>
              <w:right w:val="outset" w:sz="6" w:space="0" w:color="auto"/>
            </w:tcBorders>
            <w:vAlign w:val="center"/>
          </w:tcPr>
          <w:p w14:paraId="56BB35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June 2018</w:t>
            </w:r>
          </w:p>
        </w:tc>
        <w:tc>
          <w:tcPr>
            <w:tcW w:w="0" w:type="auto"/>
            <w:tcBorders>
              <w:top w:val="outset" w:sz="6" w:space="0" w:color="auto"/>
              <w:left w:val="outset" w:sz="6" w:space="0" w:color="auto"/>
              <w:bottom w:val="outset" w:sz="6" w:space="0" w:color="auto"/>
              <w:right w:val="outset" w:sz="6" w:space="0" w:color="auto"/>
            </w:tcBorders>
            <w:vAlign w:val="center"/>
          </w:tcPr>
          <w:p w14:paraId="66F749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 to update reference to the National Code in section 3 Authority</w:t>
            </w:r>
          </w:p>
        </w:tc>
      </w:tr>
      <w:tr w:rsidR="00964C26" w:rsidRPr="0030693C" w14:paraId="3A6207E3"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30C50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7A8AD7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3B8731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06 June 2018</w:t>
            </w:r>
          </w:p>
        </w:tc>
        <w:tc>
          <w:tcPr>
            <w:tcW w:w="0" w:type="auto"/>
            <w:tcBorders>
              <w:top w:val="outset" w:sz="6" w:space="0" w:color="auto"/>
              <w:left w:val="outset" w:sz="6" w:space="0" w:color="auto"/>
              <w:bottom w:val="outset" w:sz="6" w:space="0" w:color="auto"/>
              <w:right w:val="outset" w:sz="6" w:space="0" w:color="auto"/>
            </w:tcBorders>
            <w:vAlign w:val="center"/>
          </w:tcPr>
          <w:p w14:paraId="4C77EA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June 2018</w:t>
            </w:r>
          </w:p>
        </w:tc>
        <w:tc>
          <w:tcPr>
            <w:tcW w:w="0" w:type="auto"/>
            <w:tcBorders>
              <w:top w:val="outset" w:sz="6" w:space="0" w:color="auto"/>
              <w:left w:val="outset" w:sz="6" w:space="0" w:color="auto"/>
              <w:bottom w:val="outset" w:sz="6" w:space="0" w:color="auto"/>
              <w:right w:val="outset" w:sz="6" w:space="0" w:color="auto"/>
            </w:tcBorders>
            <w:vAlign w:val="center"/>
          </w:tcPr>
          <w:p w14:paraId="2F6114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Fixing minor errors to document information</w:t>
            </w:r>
          </w:p>
        </w:tc>
      </w:tr>
      <w:tr w:rsidR="00964C26" w:rsidRPr="0030693C" w14:paraId="03A57DF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DD5524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5BC32EB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9E3D4A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April 2019</w:t>
            </w:r>
          </w:p>
        </w:tc>
        <w:tc>
          <w:tcPr>
            <w:tcW w:w="0" w:type="auto"/>
            <w:tcBorders>
              <w:top w:val="outset" w:sz="6" w:space="0" w:color="auto"/>
              <w:left w:val="outset" w:sz="6" w:space="0" w:color="auto"/>
              <w:bottom w:val="outset" w:sz="6" w:space="0" w:color="auto"/>
              <w:right w:val="outset" w:sz="6" w:space="0" w:color="auto"/>
            </w:tcBorders>
            <w:vAlign w:val="center"/>
          </w:tcPr>
          <w:p w14:paraId="64630B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April 2019</w:t>
            </w:r>
          </w:p>
        </w:tc>
        <w:tc>
          <w:tcPr>
            <w:tcW w:w="0" w:type="auto"/>
            <w:tcBorders>
              <w:top w:val="outset" w:sz="6" w:space="0" w:color="auto"/>
              <w:left w:val="outset" w:sz="6" w:space="0" w:color="auto"/>
              <w:bottom w:val="outset" w:sz="6" w:space="0" w:color="auto"/>
              <w:right w:val="outset" w:sz="6" w:space="0" w:color="auto"/>
            </w:tcBorders>
            <w:vAlign w:val="center"/>
          </w:tcPr>
          <w:p w14:paraId="46CB63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changes consequent upon the change of the name of the Research Higher Degrees Committee to the Higher Degrees by Research Committee. Editorial correction to numbering at 4.103.</w:t>
            </w:r>
          </w:p>
        </w:tc>
      </w:tr>
      <w:tr w:rsidR="00964C26" w:rsidRPr="0030693C" w14:paraId="0162016E"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EDD417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0924836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8D23A9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16 May 2019</w:t>
            </w:r>
          </w:p>
        </w:tc>
        <w:tc>
          <w:tcPr>
            <w:tcW w:w="0" w:type="auto"/>
            <w:tcBorders>
              <w:top w:val="outset" w:sz="6" w:space="0" w:color="auto"/>
              <w:left w:val="outset" w:sz="6" w:space="0" w:color="auto"/>
              <w:bottom w:val="outset" w:sz="6" w:space="0" w:color="auto"/>
              <w:right w:val="outset" w:sz="6" w:space="0" w:color="auto"/>
            </w:tcBorders>
            <w:vAlign w:val="center"/>
          </w:tcPr>
          <w:p w14:paraId="141FB9A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 July 2019</w:t>
            </w:r>
          </w:p>
        </w:tc>
        <w:tc>
          <w:tcPr>
            <w:tcW w:w="0" w:type="auto"/>
            <w:tcBorders>
              <w:top w:val="outset" w:sz="6" w:space="0" w:color="auto"/>
              <w:left w:val="outset" w:sz="6" w:space="0" w:color="auto"/>
              <w:bottom w:val="outset" w:sz="6" w:space="0" w:color="auto"/>
              <w:right w:val="outset" w:sz="6" w:space="0" w:color="auto"/>
            </w:tcBorders>
            <w:vAlign w:val="center"/>
          </w:tcPr>
          <w:p w14:paraId="202332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late submission – procedural principles section and consequential renumbering</w:t>
            </w:r>
          </w:p>
        </w:tc>
      </w:tr>
      <w:tr w:rsidR="00964C26" w:rsidRPr="0030693C" w14:paraId="7D370034"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27DD899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78F43B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4C92D47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37EDCE5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28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3911DC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4.25(e) – remove “convene”</w:t>
            </w:r>
            <w:r w:rsidRPr="0030693C">
              <w:rPr>
                <w:rFonts w:ascii="Source Sans Pro" w:eastAsia="Arial" w:hAnsi="Source Sans Pro" w:cs="Arial"/>
                <w:color w:val="000000"/>
                <w:sz w:val="20"/>
                <w:szCs w:val="20"/>
              </w:rPr>
              <w:br/>
              <w:t>4.65 - updated to include e-portfolio or website</w:t>
            </w:r>
            <w:r w:rsidRPr="0030693C">
              <w:rPr>
                <w:rFonts w:ascii="Source Sans Pro" w:eastAsia="Arial" w:hAnsi="Source Sans Pro" w:cs="Arial"/>
                <w:color w:val="000000"/>
                <w:sz w:val="20"/>
                <w:szCs w:val="20"/>
              </w:rPr>
              <w:br/>
              <w:t>4.68 - added - minimum dissertation as a % with creative works</w:t>
            </w:r>
            <w:r w:rsidRPr="0030693C">
              <w:rPr>
                <w:rFonts w:ascii="Source Sans Pro" w:eastAsia="Arial" w:hAnsi="Source Sans Pro" w:cs="Arial"/>
                <w:color w:val="000000"/>
                <w:sz w:val="20"/>
                <w:szCs w:val="20"/>
              </w:rPr>
              <w:br/>
              <w:t>4.73 – clarification of language of the thesis for jointly awarded degrees</w:t>
            </w:r>
            <w:r w:rsidRPr="0030693C">
              <w:rPr>
                <w:rFonts w:ascii="Source Sans Pro" w:eastAsia="Arial" w:hAnsi="Source Sans Pro" w:cs="Arial"/>
                <w:color w:val="000000"/>
                <w:sz w:val="20"/>
                <w:szCs w:val="20"/>
              </w:rPr>
              <w:br/>
              <w:t>4.87 (d) (</w:t>
            </w:r>
            <w:proofErr w:type="spellStart"/>
            <w:r w:rsidRPr="0030693C">
              <w:rPr>
                <w:rFonts w:ascii="Source Sans Pro" w:eastAsia="Arial" w:hAnsi="Source Sans Pro" w:cs="Arial"/>
                <w:color w:val="000000"/>
                <w:sz w:val="20"/>
                <w:szCs w:val="20"/>
              </w:rPr>
              <w:t>i</w:t>
            </w:r>
            <w:proofErr w:type="spellEnd"/>
            <w:r w:rsidRPr="0030693C">
              <w:rPr>
                <w:rFonts w:ascii="Source Sans Pro" w:eastAsia="Arial" w:hAnsi="Source Sans Pro" w:cs="Arial"/>
                <w:color w:val="000000"/>
                <w:sz w:val="20"/>
                <w:szCs w:val="20"/>
              </w:rPr>
              <w:t>) – completion seminar timing details added</w:t>
            </w:r>
            <w:r w:rsidRPr="0030693C">
              <w:rPr>
                <w:rFonts w:ascii="Source Sans Pro" w:eastAsia="Arial" w:hAnsi="Source Sans Pro" w:cs="Arial"/>
                <w:color w:val="000000"/>
                <w:sz w:val="20"/>
                <w:szCs w:val="20"/>
              </w:rPr>
              <w:br/>
              <w:t>5.10 (j) – added - Amendments to align with the Australian Code for the Responsible Conduct of Research</w:t>
            </w:r>
            <w:r w:rsidRPr="0030693C">
              <w:rPr>
                <w:rFonts w:ascii="Source Sans Pro" w:eastAsia="Arial" w:hAnsi="Source Sans Pro" w:cs="Arial"/>
                <w:color w:val="000000"/>
                <w:sz w:val="20"/>
                <w:szCs w:val="20"/>
              </w:rPr>
              <w:br/>
              <w:t>5.70- amended wording</w:t>
            </w:r>
            <w:r w:rsidRPr="0030693C">
              <w:rPr>
                <w:rFonts w:ascii="Source Sans Pro" w:eastAsia="Arial" w:hAnsi="Source Sans Pro" w:cs="Arial"/>
                <w:color w:val="000000"/>
                <w:sz w:val="20"/>
                <w:szCs w:val="20"/>
              </w:rPr>
              <w:br/>
              <w:t>5.72 – 5.73 – added – 10 day extension to submit</w:t>
            </w:r>
            <w:r w:rsidRPr="0030693C">
              <w:rPr>
                <w:rFonts w:ascii="Source Sans Pro" w:eastAsia="Arial" w:hAnsi="Source Sans Pro" w:cs="Arial"/>
                <w:color w:val="000000"/>
                <w:sz w:val="20"/>
                <w:szCs w:val="20"/>
              </w:rPr>
              <w:br/>
              <w:t>5.75 – 5.79- updated – completion seminar requirements</w:t>
            </w:r>
            <w:r w:rsidRPr="0030693C">
              <w:rPr>
                <w:rFonts w:ascii="Source Sans Pro" w:eastAsia="Arial" w:hAnsi="Source Sans Pro" w:cs="Arial"/>
                <w:color w:val="000000"/>
                <w:sz w:val="20"/>
                <w:szCs w:val="20"/>
              </w:rPr>
              <w:br/>
              <w:t>Responsibilities table – updated – extension to submission date</w:t>
            </w:r>
          </w:p>
        </w:tc>
      </w:tr>
      <w:tr w:rsidR="00964C26" w:rsidRPr="0030693C" w14:paraId="198804CF"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20FD4C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tcPr>
          <w:p w14:paraId="7461F8B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D8F169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November 2019</w:t>
            </w:r>
          </w:p>
        </w:tc>
        <w:tc>
          <w:tcPr>
            <w:tcW w:w="0" w:type="auto"/>
            <w:tcBorders>
              <w:top w:val="outset" w:sz="6" w:space="0" w:color="auto"/>
              <w:left w:val="outset" w:sz="6" w:space="0" w:color="auto"/>
              <w:bottom w:val="outset" w:sz="6" w:space="0" w:color="auto"/>
              <w:right w:val="outset" w:sz="6" w:space="0" w:color="auto"/>
            </w:tcBorders>
            <w:vAlign w:val="center"/>
          </w:tcPr>
          <w:p w14:paraId="25635D6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November 2019</w:t>
            </w:r>
          </w:p>
        </w:tc>
        <w:tc>
          <w:tcPr>
            <w:tcW w:w="0" w:type="auto"/>
            <w:tcBorders>
              <w:top w:val="outset" w:sz="6" w:space="0" w:color="auto"/>
              <w:left w:val="outset" w:sz="6" w:space="0" w:color="auto"/>
              <w:bottom w:val="outset" w:sz="6" w:space="0" w:color="auto"/>
              <w:right w:val="outset" w:sz="6" w:space="0" w:color="auto"/>
            </w:tcBorders>
            <w:vAlign w:val="center"/>
          </w:tcPr>
          <w:p w14:paraId="70020B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4.89</w:t>
            </w:r>
          </w:p>
        </w:tc>
      </w:tr>
      <w:tr w:rsidR="00964C26" w:rsidRPr="0030693C" w14:paraId="485717F8"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122D3B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6C62202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0B77BB6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August 2020</w:t>
            </w:r>
          </w:p>
        </w:tc>
        <w:tc>
          <w:tcPr>
            <w:tcW w:w="0" w:type="auto"/>
            <w:tcBorders>
              <w:top w:val="outset" w:sz="6" w:space="0" w:color="auto"/>
              <w:left w:val="outset" w:sz="6" w:space="0" w:color="auto"/>
              <w:bottom w:val="outset" w:sz="6" w:space="0" w:color="auto"/>
              <w:right w:val="outset" w:sz="6" w:space="0" w:color="auto"/>
            </w:tcBorders>
            <w:vAlign w:val="center"/>
          </w:tcPr>
          <w:p w14:paraId="0B5D2C6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 August 2020</w:t>
            </w:r>
          </w:p>
        </w:tc>
        <w:tc>
          <w:tcPr>
            <w:tcW w:w="0" w:type="auto"/>
            <w:tcBorders>
              <w:top w:val="outset" w:sz="6" w:space="0" w:color="auto"/>
              <w:left w:val="outset" w:sz="6" w:space="0" w:color="auto"/>
              <w:bottom w:val="outset" w:sz="6" w:space="0" w:color="auto"/>
              <w:right w:val="outset" w:sz="6" w:space="0" w:color="auto"/>
            </w:tcBorders>
            <w:vAlign w:val="center"/>
          </w:tcPr>
          <w:p w14:paraId="107DE2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Addition of section 4.38A</w:t>
            </w:r>
          </w:p>
        </w:tc>
      </w:tr>
      <w:tr w:rsidR="00964C26" w:rsidRPr="0030693C" w14:paraId="3EBF01E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03F64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2B0CDE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27B836E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611E8E4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6C456EF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5.14, 4.108(f) and 4.108(g), and addition of 4.108A and 4.108B.</w:t>
            </w:r>
          </w:p>
        </w:tc>
      </w:tr>
      <w:tr w:rsidR="00964C26" w:rsidRPr="0030693C" w14:paraId="03B473DE"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0B7C9D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65C7F4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430774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16 November 2020</w:t>
            </w:r>
          </w:p>
        </w:tc>
        <w:tc>
          <w:tcPr>
            <w:tcW w:w="0" w:type="auto"/>
            <w:tcBorders>
              <w:top w:val="outset" w:sz="6" w:space="0" w:color="auto"/>
              <w:left w:val="outset" w:sz="6" w:space="0" w:color="auto"/>
              <w:bottom w:val="outset" w:sz="6" w:space="0" w:color="auto"/>
              <w:right w:val="outset" w:sz="6" w:space="0" w:color="auto"/>
            </w:tcBorders>
            <w:vAlign w:val="center"/>
          </w:tcPr>
          <w:p w14:paraId="101301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441F66B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Updates to address diversity and inclusion requirements at 4.5(d), and 4.28(e). </w:t>
            </w:r>
          </w:p>
        </w:tc>
      </w:tr>
      <w:tr w:rsidR="00964C26" w:rsidRPr="0030693C" w14:paraId="1CABE55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CCDC90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3DA56F3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0EA8D69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15 January 2021</w:t>
            </w:r>
          </w:p>
        </w:tc>
        <w:tc>
          <w:tcPr>
            <w:tcW w:w="0" w:type="auto"/>
            <w:tcBorders>
              <w:top w:val="outset" w:sz="6" w:space="0" w:color="auto"/>
              <w:left w:val="outset" w:sz="6" w:space="0" w:color="auto"/>
              <w:bottom w:val="outset" w:sz="6" w:space="0" w:color="auto"/>
              <w:right w:val="outset" w:sz="6" w:space="0" w:color="auto"/>
            </w:tcBorders>
            <w:vAlign w:val="center"/>
          </w:tcPr>
          <w:p w14:paraId="7E3C51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 January 2021</w:t>
            </w:r>
          </w:p>
        </w:tc>
        <w:tc>
          <w:tcPr>
            <w:tcW w:w="0" w:type="auto"/>
            <w:tcBorders>
              <w:top w:val="outset" w:sz="6" w:space="0" w:color="auto"/>
              <w:left w:val="outset" w:sz="6" w:space="0" w:color="auto"/>
              <w:bottom w:val="outset" w:sz="6" w:space="0" w:color="auto"/>
              <w:right w:val="outset" w:sz="6" w:space="0" w:color="auto"/>
            </w:tcBorders>
            <w:vAlign w:val="center"/>
          </w:tcPr>
          <w:p w14:paraId="6B22448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Removal of introductory statement at 5.75 (Completion seminar).</w:t>
            </w:r>
          </w:p>
        </w:tc>
      </w:tr>
      <w:tr w:rsidR="00964C26" w:rsidRPr="0030693C" w14:paraId="7C6EC3E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098AA6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272A2E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84C2E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2021</w:t>
            </w:r>
          </w:p>
        </w:tc>
        <w:tc>
          <w:tcPr>
            <w:tcW w:w="0" w:type="auto"/>
            <w:tcBorders>
              <w:top w:val="outset" w:sz="6" w:space="0" w:color="auto"/>
              <w:left w:val="outset" w:sz="6" w:space="0" w:color="auto"/>
              <w:bottom w:val="outset" w:sz="6" w:space="0" w:color="auto"/>
              <w:right w:val="outset" w:sz="6" w:space="0" w:color="auto"/>
            </w:tcBorders>
            <w:vAlign w:val="center"/>
          </w:tcPr>
          <w:p w14:paraId="3DB23DA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August 2021</w:t>
            </w:r>
          </w:p>
        </w:tc>
        <w:tc>
          <w:tcPr>
            <w:tcW w:w="0" w:type="auto"/>
            <w:tcBorders>
              <w:top w:val="outset" w:sz="6" w:space="0" w:color="auto"/>
              <w:left w:val="outset" w:sz="6" w:space="0" w:color="auto"/>
              <w:bottom w:val="outset" w:sz="6" w:space="0" w:color="auto"/>
              <w:right w:val="outset" w:sz="6" w:space="0" w:color="auto"/>
            </w:tcBorders>
            <w:vAlign w:val="center"/>
          </w:tcPr>
          <w:p w14:paraId="79F30E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Updated Australian Standards for Editing Practices hyperlinks at 4.77 and 4.78.</w:t>
            </w:r>
          </w:p>
        </w:tc>
      </w:tr>
      <w:tr w:rsidR="00964C26" w:rsidRPr="0030693C" w14:paraId="52D5663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05ED50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111F527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79ABB92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October 2021</w:t>
            </w:r>
          </w:p>
        </w:tc>
        <w:tc>
          <w:tcPr>
            <w:tcW w:w="0" w:type="auto"/>
            <w:tcBorders>
              <w:top w:val="outset" w:sz="6" w:space="0" w:color="auto"/>
              <w:left w:val="outset" w:sz="6" w:space="0" w:color="auto"/>
              <w:bottom w:val="outset" w:sz="6" w:space="0" w:color="auto"/>
              <w:right w:val="outset" w:sz="6" w:space="0" w:color="auto"/>
            </w:tcBorders>
            <w:vAlign w:val="center"/>
          </w:tcPr>
          <w:p w14:paraId="4BEA2AA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 November 2021</w:t>
            </w:r>
          </w:p>
        </w:tc>
        <w:tc>
          <w:tcPr>
            <w:tcW w:w="0" w:type="auto"/>
            <w:tcBorders>
              <w:top w:val="outset" w:sz="6" w:space="0" w:color="auto"/>
              <w:left w:val="outset" w:sz="6" w:space="0" w:color="auto"/>
              <w:bottom w:val="outset" w:sz="6" w:space="0" w:color="auto"/>
              <w:right w:val="outset" w:sz="6" w:space="0" w:color="auto"/>
            </w:tcBorders>
            <w:vAlign w:val="center"/>
          </w:tcPr>
          <w:p w14:paraId="71728E9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Removal of all policy matters related to academic progress review consequent upon the Academic Board approving the Academic Progress Review Policy (Graduate Research) at its meeting of 21 October 2021 – consequent renumbering. Updated terminology related to associate deans. Clarifying the possibility of late submission date revisions. Clarifying that candidate’s suspended for misconduct lose the equivalent amount of time in their candidature.</w:t>
            </w:r>
          </w:p>
        </w:tc>
      </w:tr>
      <w:tr w:rsidR="00964C26" w:rsidRPr="0030693C" w14:paraId="7828B9DC"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FBE1AC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1B1607E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739166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241E76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FA356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Created in error.</w:t>
            </w:r>
          </w:p>
        </w:tc>
      </w:tr>
      <w:tr w:rsidR="00964C26" w:rsidRPr="0030693C" w14:paraId="358E8154"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D6F334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3E0EABC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3E065E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December 2021</w:t>
            </w:r>
          </w:p>
        </w:tc>
        <w:tc>
          <w:tcPr>
            <w:tcW w:w="0" w:type="auto"/>
            <w:tcBorders>
              <w:top w:val="outset" w:sz="6" w:space="0" w:color="auto"/>
              <w:left w:val="outset" w:sz="6" w:space="0" w:color="auto"/>
              <w:bottom w:val="outset" w:sz="6" w:space="0" w:color="auto"/>
              <w:right w:val="outset" w:sz="6" w:space="0" w:color="auto"/>
            </w:tcBorders>
            <w:vAlign w:val="center"/>
          </w:tcPr>
          <w:p w14:paraId="62B237B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6A1152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Changes to Examination Rules.</w:t>
            </w:r>
          </w:p>
        </w:tc>
      </w:tr>
      <w:tr w:rsidR="00964C26" w:rsidRPr="0030693C" w14:paraId="047F9E0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7043FF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3915E4E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7FA6DE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7D56C21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04607B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corrections to errors at 5.97 made during publication and editorial updates at 5.68 and 5.70 to align with the changes to Examination Rules approved on 9 December 2021.</w:t>
            </w:r>
          </w:p>
        </w:tc>
      </w:tr>
      <w:tr w:rsidR="658C462B" w:rsidRPr="0030693C" w14:paraId="1C5B76B7"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2EDD2A7C" w14:textId="77777777" w:rsidR="37A6DF0D" w:rsidRPr="0030693C" w:rsidRDefault="37A6DF0D"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26</w:t>
            </w:r>
          </w:p>
        </w:tc>
        <w:tc>
          <w:tcPr>
            <w:tcW w:w="1194" w:type="dxa"/>
            <w:tcBorders>
              <w:top w:val="outset" w:sz="6" w:space="0" w:color="auto"/>
              <w:left w:val="outset" w:sz="6" w:space="0" w:color="auto"/>
              <w:bottom w:val="outset" w:sz="6" w:space="0" w:color="auto"/>
              <w:right w:val="outset" w:sz="6" w:space="0" w:color="auto"/>
            </w:tcBorders>
            <w:vAlign w:val="center"/>
          </w:tcPr>
          <w:p w14:paraId="75B3B1A2"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09B284D9"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15 December 2022</w:t>
            </w:r>
          </w:p>
        </w:tc>
        <w:tc>
          <w:tcPr>
            <w:tcW w:w="1098" w:type="dxa"/>
            <w:tcBorders>
              <w:top w:val="outset" w:sz="6" w:space="0" w:color="auto"/>
              <w:left w:val="outset" w:sz="6" w:space="0" w:color="auto"/>
              <w:bottom w:val="outset" w:sz="6" w:space="0" w:color="auto"/>
              <w:right w:val="outset" w:sz="6" w:space="0" w:color="auto"/>
            </w:tcBorders>
            <w:vAlign w:val="center"/>
          </w:tcPr>
          <w:p w14:paraId="209F2903" w14:textId="77777777" w:rsidR="25A83652" w:rsidRPr="0030693C" w:rsidRDefault="0030693C"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4328" w:type="dxa"/>
            <w:tcBorders>
              <w:top w:val="outset" w:sz="6" w:space="0" w:color="auto"/>
              <w:left w:val="outset" w:sz="6" w:space="0" w:color="auto"/>
              <w:bottom w:val="outset" w:sz="6" w:space="0" w:color="auto"/>
              <w:right w:val="outset" w:sz="6" w:space="0" w:color="auto"/>
            </w:tcBorders>
            <w:vAlign w:val="center"/>
          </w:tcPr>
          <w:p w14:paraId="14F52A10"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Minor editorial amendments for clarity at 4.43 and 4.44</w:t>
            </w:r>
            <w:r w:rsidR="0030693C">
              <w:rPr>
                <w:rFonts w:ascii="Source Sans Pro" w:eastAsia="Arial" w:hAnsi="Source Sans Pro" w:cs="Arial"/>
                <w:color w:val="000000" w:themeColor="text1"/>
                <w:sz w:val="20"/>
                <w:szCs w:val="20"/>
              </w:rPr>
              <w:t xml:space="preserve">. Dead hyperlinks resolved and duplication of 5.20-5.22 removed. </w:t>
            </w:r>
          </w:p>
        </w:tc>
      </w:tr>
      <w:tr w:rsidR="000D68B9" w:rsidRPr="0030693C" w14:paraId="66362B32"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4CEF25C5" w14:textId="4DAA464A" w:rsidR="000D68B9" w:rsidRPr="0030693C" w:rsidRDefault="000D68B9"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27</w:t>
            </w:r>
          </w:p>
        </w:tc>
        <w:tc>
          <w:tcPr>
            <w:tcW w:w="1194" w:type="dxa"/>
            <w:tcBorders>
              <w:top w:val="outset" w:sz="6" w:space="0" w:color="auto"/>
              <w:left w:val="outset" w:sz="6" w:space="0" w:color="auto"/>
              <w:bottom w:val="outset" w:sz="6" w:space="0" w:color="auto"/>
              <w:right w:val="outset" w:sz="6" w:space="0" w:color="auto"/>
            </w:tcBorders>
            <w:vAlign w:val="center"/>
          </w:tcPr>
          <w:p w14:paraId="0D88D25B" w14:textId="20F0CA90" w:rsidR="000D68B9" w:rsidRPr="0030693C" w:rsidRDefault="000D68B9"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sz w:val="20"/>
                <w:szCs w:val="20"/>
              </w:rPr>
              <w:t>Academic Secretary</w:t>
            </w:r>
          </w:p>
        </w:tc>
        <w:tc>
          <w:tcPr>
            <w:tcW w:w="1150" w:type="dxa"/>
            <w:tcBorders>
              <w:top w:val="outset" w:sz="6" w:space="0" w:color="auto"/>
              <w:left w:val="outset" w:sz="6" w:space="0" w:color="auto"/>
              <w:bottom w:val="outset" w:sz="6" w:space="0" w:color="auto"/>
              <w:right w:val="outset" w:sz="6" w:space="0" w:color="auto"/>
            </w:tcBorders>
            <w:vAlign w:val="center"/>
          </w:tcPr>
          <w:p w14:paraId="54FAB417" w14:textId="546CAF7B" w:rsidR="000D68B9" w:rsidRPr="0030693C" w:rsidRDefault="00431E80"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18 January 2023</w:t>
            </w:r>
          </w:p>
        </w:tc>
        <w:tc>
          <w:tcPr>
            <w:tcW w:w="1098" w:type="dxa"/>
            <w:tcBorders>
              <w:top w:val="outset" w:sz="6" w:space="0" w:color="auto"/>
              <w:left w:val="outset" w:sz="6" w:space="0" w:color="auto"/>
              <w:bottom w:val="outset" w:sz="6" w:space="0" w:color="auto"/>
              <w:right w:val="outset" w:sz="6" w:space="0" w:color="auto"/>
            </w:tcBorders>
            <w:vAlign w:val="center"/>
          </w:tcPr>
          <w:p w14:paraId="30DBB7B0" w14:textId="6E7C8DF7" w:rsidR="000D68B9" w:rsidRDefault="00431E80"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18 January 2023</w:t>
            </w:r>
          </w:p>
        </w:tc>
        <w:tc>
          <w:tcPr>
            <w:tcW w:w="4328" w:type="dxa"/>
            <w:tcBorders>
              <w:top w:val="outset" w:sz="6" w:space="0" w:color="auto"/>
              <w:left w:val="outset" w:sz="6" w:space="0" w:color="auto"/>
              <w:bottom w:val="outset" w:sz="6" w:space="0" w:color="auto"/>
              <w:right w:val="outset" w:sz="6" w:space="0" w:color="auto"/>
            </w:tcBorders>
            <w:vAlign w:val="center"/>
          </w:tcPr>
          <w:p w14:paraId="7822B2E6" w14:textId="6D9813D6" w:rsidR="000D68B9" w:rsidRPr="0030693C" w:rsidRDefault="007E1FD2"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Updated broken hyperlink at </w:t>
            </w:r>
            <w:r w:rsidR="00313F96">
              <w:rPr>
                <w:rFonts w:ascii="Source Sans Pro" w:eastAsia="Arial" w:hAnsi="Source Sans Pro" w:cs="Arial"/>
                <w:color w:val="000000" w:themeColor="text1"/>
                <w:sz w:val="20"/>
                <w:szCs w:val="20"/>
              </w:rPr>
              <w:t>4.12.</w:t>
            </w:r>
          </w:p>
        </w:tc>
      </w:tr>
      <w:tr w:rsidR="00CF0477" w:rsidRPr="0030693C" w14:paraId="58B2989B"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56501986" w14:textId="56180025" w:rsidR="00CF0477" w:rsidRDefault="00CF0477"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28</w:t>
            </w:r>
          </w:p>
        </w:tc>
        <w:tc>
          <w:tcPr>
            <w:tcW w:w="1194" w:type="dxa"/>
            <w:tcBorders>
              <w:top w:val="outset" w:sz="6" w:space="0" w:color="auto"/>
              <w:left w:val="outset" w:sz="6" w:space="0" w:color="auto"/>
              <w:bottom w:val="outset" w:sz="6" w:space="0" w:color="auto"/>
              <w:right w:val="outset" w:sz="6" w:space="0" w:color="auto"/>
            </w:tcBorders>
            <w:vAlign w:val="center"/>
          </w:tcPr>
          <w:p w14:paraId="59EFFDE6" w14:textId="2E317F29" w:rsidR="00CF0477" w:rsidRPr="0030693C" w:rsidRDefault="00CF0477" w:rsidP="658C462B">
            <w:pPr>
              <w:rPr>
                <w:rFonts w:ascii="Source Sans Pro" w:eastAsia="Arial" w:hAnsi="Source Sans Pro" w:cs="Arial"/>
                <w:color w:val="000000"/>
                <w:sz w:val="20"/>
                <w:szCs w:val="20"/>
              </w:rPr>
            </w:pPr>
            <w:r>
              <w:rPr>
                <w:rFonts w:ascii="Source Sans Pro" w:eastAsia="Arial" w:hAnsi="Source Sans Pro" w:cs="Arial"/>
                <w:color w:val="000000"/>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66EC40B0" w14:textId="5F73EE1D" w:rsidR="00CF0477" w:rsidRDefault="006040E2"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8 December 2022</w:t>
            </w:r>
          </w:p>
        </w:tc>
        <w:tc>
          <w:tcPr>
            <w:tcW w:w="1098" w:type="dxa"/>
            <w:tcBorders>
              <w:top w:val="outset" w:sz="6" w:space="0" w:color="auto"/>
              <w:left w:val="outset" w:sz="6" w:space="0" w:color="auto"/>
              <w:bottom w:val="outset" w:sz="6" w:space="0" w:color="auto"/>
              <w:right w:val="outset" w:sz="6" w:space="0" w:color="auto"/>
            </w:tcBorders>
            <w:vAlign w:val="center"/>
          </w:tcPr>
          <w:p w14:paraId="107A7B81" w14:textId="13450A5A" w:rsidR="00CF0477" w:rsidRDefault="005E3B91"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30 March 2022</w:t>
            </w:r>
          </w:p>
        </w:tc>
        <w:tc>
          <w:tcPr>
            <w:tcW w:w="4328" w:type="dxa"/>
            <w:tcBorders>
              <w:top w:val="outset" w:sz="6" w:space="0" w:color="auto"/>
              <w:left w:val="outset" w:sz="6" w:space="0" w:color="auto"/>
              <w:bottom w:val="outset" w:sz="6" w:space="0" w:color="auto"/>
              <w:right w:val="outset" w:sz="6" w:space="0" w:color="auto"/>
            </w:tcBorders>
            <w:vAlign w:val="center"/>
          </w:tcPr>
          <w:p w14:paraId="182BAEDF" w14:textId="1DDC1D4F" w:rsidR="00CF0477" w:rsidRDefault="00A243F5"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Amendment to </w:t>
            </w:r>
            <w:r w:rsidR="00DC76AE">
              <w:rPr>
                <w:rFonts w:ascii="Source Sans Pro" w:eastAsia="Arial" w:hAnsi="Source Sans Pro" w:cs="Arial"/>
                <w:color w:val="000000" w:themeColor="text1"/>
                <w:sz w:val="20"/>
                <w:szCs w:val="20"/>
              </w:rPr>
              <w:t xml:space="preserve">the </w:t>
            </w:r>
            <w:r>
              <w:rPr>
                <w:rFonts w:ascii="Source Sans Pro" w:eastAsia="Arial" w:hAnsi="Source Sans Pro" w:cs="Arial"/>
                <w:color w:val="000000" w:themeColor="text1"/>
                <w:sz w:val="20"/>
                <w:szCs w:val="20"/>
              </w:rPr>
              <w:t xml:space="preserve">definition of Thesis to include an option comprising </w:t>
            </w:r>
            <w:r w:rsidR="00DC76AE" w:rsidRPr="00DC76AE">
              <w:rPr>
                <w:rFonts w:ascii="Source Sans Pro" w:eastAsia="Arial" w:hAnsi="Source Sans Pro" w:cs="Arial"/>
                <w:color w:val="000000" w:themeColor="text1"/>
                <w:sz w:val="20"/>
                <w:szCs w:val="20"/>
              </w:rPr>
              <w:t>a creative work and dissertation which together embody the results of original research and especially substantiating a specific view.</w:t>
            </w:r>
          </w:p>
          <w:p w14:paraId="1F910C24" w14:textId="77777777" w:rsidR="00DC76AE" w:rsidRDefault="00DC76AE" w:rsidP="658C462B">
            <w:pPr>
              <w:rPr>
                <w:rFonts w:ascii="Source Sans Pro" w:eastAsia="Arial" w:hAnsi="Source Sans Pro" w:cs="Arial"/>
                <w:color w:val="000000" w:themeColor="text1"/>
                <w:sz w:val="20"/>
                <w:szCs w:val="20"/>
              </w:rPr>
            </w:pPr>
          </w:p>
          <w:p w14:paraId="6E547A3C" w14:textId="1C7E77DE" w:rsidR="00DC76AE" w:rsidRDefault="00DC76AE"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lastRenderedPageBreak/>
              <w:t xml:space="preserve">Removal of the definition “creative equivalent” throughout the policy.  </w:t>
            </w:r>
          </w:p>
          <w:p w14:paraId="1E5679F6" w14:textId="77777777" w:rsidR="00DC76AE" w:rsidRDefault="00DC76AE" w:rsidP="658C462B">
            <w:pPr>
              <w:rPr>
                <w:rFonts w:ascii="Source Sans Pro" w:eastAsia="Arial" w:hAnsi="Source Sans Pro" w:cs="Arial"/>
                <w:color w:val="000000" w:themeColor="text1"/>
                <w:sz w:val="20"/>
                <w:szCs w:val="20"/>
              </w:rPr>
            </w:pPr>
          </w:p>
          <w:p w14:paraId="45FF9B0C" w14:textId="77777777" w:rsidR="00DC76AE" w:rsidRDefault="00DC76AE" w:rsidP="658C462B">
            <w:pPr>
              <w:rPr>
                <w:rFonts w:ascii="Source Sans Pro" w:eastAsia="Arial" w:hAnsi="Source Sans Pro" w:cs="Arial"/>
                <w:color w:val="000000" w:themeColor="text1"/>
                <w:sz w:val="20"/>
                <w:szCs w:val="20"/>
              </w:rPr>
            </w:pPr>
            <w:proofErr w:type="spellStart"/>
            <w:r>
              <w:rPr>
                <w:rFonts w:ascii="Source Sans Pro" w:eastAsia="Arial" w:hAnsi="Source Sans Pro" w:cs="Arial"/>
                <w:color w:val="000000" w:themeColor="text1"/>
                <w:sz w:val="20"/>
                <w:szCs w:val="20"/>
              </w:rPr>
              <w:t>Editiorial</w:t>
            </w:r>
            <w:proofErr w:type="spellEnd"/>
            <w:r>
              <w:rPr>
                <w:rFonts w:ascii="Source Sans Pro" w:eastAsia="Arial" w:hAnsi="Source Sans Pro" w:cs="Arial"/>
                <w:color w:val="000000" w:themeColor="text1"/>
                <w:sz w:val="20"/>
                <w:szCs w:val="20"/>
              </w:rPr>
              <w:t xml:space="preserve"> amendments throughout to remove references to “creative equivalent”.</w:t>
            </w:r>
          </w:p>
          <w:p w14:paraId="4E75157F" w14:textId="77777777" w:rsidR="00081B51" w:rsidRDefault="00081B51" w:rsidP="658C462B">
            <w:pPr>
              <w:rPr>
                <w:rFonts w:ascii="Source Sans Pro" w:eastAsia="Arial" w:hAnsi="Source Sans Pro" w:cs="Arial"/>
                <w:color w:val="000000" w:themeColor="text1"/>
                <w:sz w:val="20"/>
                <w:szCs w:val="20"/>
              </w:rPr>
            </w:pPr>
          </w:p>
          <w:p w14:paraId="7B399748" w14:textId="3123F4CE" w:rsidR="006D5A0D" w:rsidRDefault="00081B51"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Removal of references to a</w:t>
            </w:r>
            <w:r w:rsidRPr="00081B51">
              <w:rPr>
                <w:rFonts w:ascii="Source Sans Pro" w:eastAsia="Arial" w:hAnsi="Source Sans Pro" w:cs="Arial"/>
                <w:color w:val="000000" w:themeColor="text1"/>
                <w:sz w:val="20"/>
                <w:szCs w:val="20"/>
              </w:rPr>
              <w:t xml:space="preserve"> Master Degree (Research) undertaken entirely in creative form</w:t>
            </w:r>
            <w:r w:rsidR="00600E07">
              <w:rPr>
                <w:rFonts w:ascii="Source Sans Pro" w:eastAsia="Arial" w:hAnsi="Source Sans Pro" w:cs="Arial"/>
                <w:color w:val="000000" w:themeColor="text1"/>
                <w:sz w:val="20"/>
                <w:szCs w:val="20"/>
              </w:rPr>
              <w:t>.</w:t>
            </w:r>
          </w:p>
          <w:p w14:paraId="45E0B5FE" w14:textId="66A7B720" w:rsidR="006D5A0D" w:rsidRDefault="006D5A0D" w:rsidP="658C462B">
            <w:pPr>
              <w:rPr>
                <w:rFonts w:ascii="Source Sans Pro" w:eastAsia="Arial" w:hAnsi="Source Sans Pro" w:cs="Arial"/>
                <w:color w:val="000000" w:themeColor="text1"/>
                <w:sz w:val="20"/>
                <w:szCs w:val="20"/>
              </w:rPr>
            </w:pPr>
          </w:p>
        </w:tc>
      </w:tr>
      <w:tr w:rsidR="006D5A0D" w:rsidRPr="0030693C" w14:paraId="4CA7EB1A"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43168F23" w14:textId="0A1290D0"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lastRenderedPageBreak/>
              <w:t>29</w:t>
            </w:r>
          </w:p>
        </w:tc>
        <w:tc>
          <w:tcPr>
            <w:tcW w:w="1194" w:type="dxa"/>
            <w:tcBorders>
              <w:top w:val="outset" w:sz="6" w:space="0" w:color="auto"/>
              <w:left w:val="outset" w:sz="6" w:space="0" w:color="auto"/>
              <w:bottom w:val="outset" w:sz="6" w:space="0" w:color="auto"/>
              <w:right w:val="outset" w:sz="6" w:space="0" w:color="auto"/>
            </w:tcBorders>
            <w:vAlign w:val="center"/>
          </w:tcPr>
          <w:p w14:paraId="537DFDD7" w14:textId="31FED5FD" w:rsidR="006D5A0D" w:rsidRDefault="004913C6" w:rsidP="658C462B">
            <w:pPr>
              <w:rPr>
                <w:rFonts w:ascii="Source Sans Pro" w:eastAsia="Arial" w:hAnsi="Source Sans Pro" w:cs="Arial"/>
                <w:color w:val="000000"/>
                <w:sz w:val="20"/>
                <w:szCs w:val="20"/>
              </w:rPr>
            </w:pPr>
            <w:r>
              <w:rPr>
                <w:rFonts w:ascii="Source Sans Pro" w:eastAsia="Arial" w:hAnsi="Source Sans Pro" w:cs="Arial"/>
                <w:color w:val="000000"/>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23800FED" w14:textId="77F2FA28"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30 March 2023</w:t>
            </w:r>
          </w:p>
        </w:tc>
        <w:tc>
          <w:tcPr>
            <w:tcW w:w="1098" w:type="dxa"/>
            <w:tcBorders>
              <w:top w:val="outset" w:sz="6" w:space="0" w:color="auto"/>
              <w:left w:val="outset" w:sz="6" w:space="0" w:color="auto"/>
              <w:bottom w:val="outset" w:sz="6" w:space="0" w:color="auto"/>
              <w:right w:val="outset" w:sz="6" w:space="0" w:color="auto"/>
            </w:tcBorders>
            <w:vAlign w:val="center"/>
          </w:tcPr>
          <w:p w14:paraId="02EFC361" w14:textId="1139F046" w:rsidR="006D5A0D" w:rsidRDefault="00723DCC"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 May 2023</w:t>
            </w:r>
          </w:p>
        </w:tc>
        <w:tc>
          <w:tcPr>
            <w:tcW w:w="4328" w:type="dxa"/>
            <w:tcBorders>
              <w:top w:val="outset" w:sz="6" w:space="0" w:color="auto"/>
              <w:left w:val="outset" w:sz="6" w:space="0" w:color="auto"/>
              <w:bottom w:val="outset" w:sz="6" w:space="0" w:color="auto"/>
              <w:right w:val="outset" w:sz="6" w:space="0" w:color="auto"/>
            </w:tcBorders>
            <w:vAlign w:val="center"/>
          </w:tcPr>
          <w:p w14:paraId="43271044" w14:textId="1703A862"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Amendment to </w:t>
            </w:r>
            <w:r w:rsidR="00F42CB9">
              <w:rPr>
                <w:rFonts w:ascii="Source Sans Pro" w:eastAsia="Arial" w:hAnsi="Source Sans Pro" w:cs="Arial"/>
                <w:color w:val="000000" w:themeColor="text1"/>
                <w:sz w:val="20"/>
                <w:szCs w:val="20"/>
              </w:rPr>
              <w:t xml:space="preserve">4.65g </w:t>
            </w:r>
            <w:r w:rsidR="00682879">
              <w:rPr>
                <w:rFonts w:ascii="Source Sans Pro" w:eastAsia="Arial" w:hAnsi="Source Sans Pro" w:cs="Arial"/>
                <w:color w:val="000000" w:themeColor="text1"/>
                <w:sz w:val="20"/>
                <w:szCs w:val="20"/>
              </w:rPr>
              <w:t>to allow</w:t>
            </w:r>
            <w:r w:rsidRPr="006D5A0D">
              <w:rPr>
                <w:rFonts w:ascii="Source Sans Pro" w:eastAsia="Arial" w:hAnsi="Source Sans Pro" w:cs="Arial"/>
                <w:color w:val="000000" w:themeColor="text1"/>
                <w:sz w:val="20"/>
                <w:szCs w:val="20"/>
              </w:rPr>
              <w:t xml:space="preserve"> the candidate’s Principal Supervisor and the publication’s C</w:t>
            </w:r>
            <w:r w:rsidR="001529CA">
              <w:rPr>
                <w:rFonts w:ascii="Source Sans Pro" w:eastAsia="Arial" w:hAnsi="Source Sans Pro" w:cs="Arial"/>
                <w:color w:val="000000" w:themeColor="text1"/>
                <w:sz w:val="20"/>
                <w:szCs w:val="20"/>
              </w:rPr>
              <w:t>oordinating</w:t>
            </w:r>
            <w:r w:rsidRPr="006D5A0D">
              <w:rPr>
                <w:rFonts w:ascii="Source Sans Pro" w:eastAsia="Arial" w:hAnsi="Source Sans Pro" w:cs="Arial"/>
                <w:color w:val="000000" w:themeColor="text1"/>
                <w:sz w:val="20"/>
                <w:szCs w:val="20"/>
              </w:rPr>
              <w:t xml:space="preserve"> Author (</w:t>
            </w:r>
            <w:r w:rsidR="00F42CB9">
              <w:rPr>
                <w:rFonts w:ascii="Source Sans Pro" w:eastAsia="Arial" w:hAnsi="Source Sans Pro" w:cs="Arial"/>
                <w:color w:val="000000" w:themeColor="text1"/>
                <w:sz w:val="20"/>
                <w:szCs w:val="20"/>
              </w:rPr>
              <w:t>who</w:t>
            </w:r>
            <w:r w:rsidRPr="006D5A0D">
              <w:rPr>
                <w:rFonts w:ascii="Source Sans Pro" w:eastAsia="Arial" w:hAnsi="Source Sans Pro" w:cs="Arial"/>
                <w:color w:val="000000" w:themeColor="text1"/>
                <w:sz w:val="20"/>
                <w:szCs w:val="20"/>
              </w:rPr>
              <w:t xml:space="preserve"> may also be the Principal Supervisor) to provide their consent for </w:t>
            </w:r>
            <w:r w:rsidR="00F42CB9">
              <w:rPr>
                <w:rFonts w:ascii="Source Sans Pro" w:eastAsia="Arial" w:hAnsi="Source Sans Pro" w:cs="Arial"/>
                <w:color w:val="000000" w:themeColor="text1"/>
                <w:sz w:val="20"/>
                <w:szCs w:val="20"/>
              </w:rPr>
              <w:t>published material</w:t>
            </w:r>
            <w:r w:rsidRPr="006D5A0D">
              <w:rPr>
                <w:rFonts w:ascii="Source Sans Pro" w:eastAsia="Arial" w:hAnsi="Source Sans Pro" w:cs="Arial"/>
                <w:color w:val="000000" w:themeColor="text1"/>
                <w:sz w:val="20"/>
                <w:szCs w:val="20"/>
              </w:rPr>
              <w:t xml:space="preserve"> to be included in the thesis</w:t>
            </w:r>
            <w:r w:rsidR="00F42CB9">
              <w:rPr>
                <w:rFonts w:ascii="Source Sans Pro" w:eastAsia="Arial" w:hAnsi="Source Sans Pro" w:cs="Arial"/>
                <w:color w:val="000000" w:themeColor="text1"/>
                <w:sz w:val="20"/>
                <w:szCs w:val="20"/>
              </w:rPr>
              <w:t>.</w:t>
            </w:r>
          </w:p>
        </w:tc>
      </w:tr>
    </w:tbl>
    <w:p w14:paraId="7BE60838" w14:textId="77777777" w:rsidR="00964C26" w:rsidRPr="0030693C" w:rsidRDefault="00964C26">
      <w:pPr>
        <w:spacing w:after="160"/>
        <w:rPr>
          <w:rFonts w:ascii="Source Sans Pro" w:hAnsi="Source Sans Pro"/>
        </w:rPr>
      </w:pPr>
    </w:p>
    <w:p w14:paraId="42D63FF5" w14:textId="77777777" w:rsidR="009F309C" w:rsidRPr="0030693C" w:rsidRDefault="009F309C">
      <w:pPr>
        <w:spacing w:after="160"/>
        <w:rPr>
          <w:rFonts w:ascii="Source Sans Pro" w:hAnsi="Source Sans Pro"/>
        </w:rPr>
      </w:pPr>
    </w:p>
    <w:p w14:paraId="30607E56" w14:textId="77777777" w:rsidR="009F309C" w:rsidRPr="0030693C" w:rsidRDefault="009F309C" w:rsidP="0030693C">
      <w:pPr>
        <w:pStyle w:val="MPFSubheading"/>
      </w:pPr>
      <w:r w:rsidRPr="0030693C">
        <w:softHyphen/>
      </w:r>
      <w:r w:rsidRPr="0030693C">
        <w:softHyphen/>
      </w:r>
    </w:p>
    <w:p w14:paraId="00DB650A" w14:textId="77777777" w:rsidR="009F309C" w:rsidRDefault="009F309C">
      <w:pPr>
        <w:spacing w:after="160"/>
      </w:pPr>
    </w:p>
    <w:sectPr w:rsidR="009F309C">
      <w:footerReference w:type="default" r:id="rId4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6FB1" w14:textId="77777777" w:rsidR="00165143" w:rsidRDefault="00165143">
      <w:r>
        <w:separator/>
      </w:r>
    </w:p>
  </w:endnote>
  <w:endnote w:type="continuationSeparator" w:id="0">
    <w:p w14:paraId="2EA808FD" w14:textId="77777777" w:rsidR="00165143" w:rsidRDefault="0016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1B13" w14:textId="77777777" w:rsidR="00964C26" w:rsidRDefault="009F0C94">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740D3F">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740D3F">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2BA" w14:textId="77777777" w:rsidR="00165143" w:rsidRDefault="00165143">
      <w:r>
        <w:separator/>
      </w:r>
    </w:p>
  </w:footnote>
  <w:footnote w:type="continuationSeparator" w:id="0">
    <w:p w14:paraId="7F228C7B" w14:textId="77777777" w:rsidR="00165143" w:rsidRDefault="0016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07A"/>
    <w:multiLevelType w:val="multilevel"/>
    <w:tmpl w:val="6D2C94D6"/>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3805381">
    <w:abstractNumId w:val="0"/>
  </w:num>
  <w:num w:numId="2" w16cid:durableId="78022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833"/>
    <w:rsid w:val="000238D2"/>
    <w:rsid w:val="000254E7"/>
    <w:rsid w:val="00081B51"/>
    <w:rsid w:val="00082BFD"/>
    <w:rsid w:val="00083A18"/>
    <w:rsid w:val="000D68B9"/>
    <w:rsid w:val="000F6447"/>
    <w:rsid w:val="001529CA"/>
    <w:rsid w:val="00165143"/>
    <w:rsid w:val="001F6B95"/>
    <w:rsid w:val="00200048"/>
    <w:rsid w:val="0020285E"/>
    <w:rsid w:val="00283E86"/>
    <w:rsid w:val="002B40FD"/>
    <w:rsid w:val="002C0455"/>
    <w:rsid w:val="002D7822"/>
    <w:rsid w:val="002E0034"/>
    <w:rsid w:val="002F3AC6"/>
    <w:rsid w:val="0030693C"/>
    <w:rsid w:val="00313F96"/>
    <w:rsid w:val="00325E48"/>
    <w:rsid w:val="00357B36"/>
    <w:rsid w:val="003E2E89"/>
    <w:rsid w:val="003F69C9"/>
    <w:rsid w:val="00431E80"/>
    <w:rsid w:val="00461B86"/>
    <w:rsid w:val="00463071"/>
    <w:rsid w:val="0046666B"/>
    <w:rsid w:val="004913C6"/>
    <w:rsid w:val="0052634A"/>
    <w:rsid w:val="00587E96"/>
    <w:rsid w:val="005E3B91"/>
    <w:rsid w:val="00600E07"/>
    <w:rsid w:val="006040E2"/>
    <w:rsid w:val="006242A3"/>
    <w:rsid w:val="00633112"/>
    <w:rsid w:val="006469D3"/>
    <w:rsid w:val="006567E0"/>
    <w:rsid w:val="006673CB"/>
    <w:rsid w:val="00682879"/>
    <w:rsid w:val="006B0CA8"/>
    <w:rsid w:val="006D5A0D"/>
    <w:rsid w:val="00716C4B"/>
    <w:rsid w:val="00723DCC"/>
    <w:rsid w:val="00740D3F"/>
    <w:rsid w:val="007555E6"/>
    <w:rsid w:val="007740BE"/>
    <w:rsid w:val="007B13DB"/>
    <w:rsid w:val="007E1FD2"/>
    <w:rsid w:val="00806A6E"/>
    <w:rsid w:val="008074E7"/>
    <w:rsid w:val="00870C4A"/>
    <w:rsid w:val="008C5FAA"/>
    <w:rsid w:val="008D2E83"/>
    <w:rsid w:val="00915A3A"/>
    <w:rsid w:val="00964C26"/>
    <w:rsid w:val="00993D48"/>
    <w:rsid w:val="009B1DA0"/>
    <w:rsid w:val="009F0C94"/>
    <w:rsid w:val="009F309C"/>
    <w:rsid w:val="00A243F5"/>
    <w:rsid w:val="00A6006A"/>
    <w:rsid w:val="00A77B3E"/>
    <w:rsid w:val="00AA0D62"/>
    <w:rsid w:val="00AC733A"/>
    <w:rsid w:val="00B85CCF"/>
    <w:rsid w:val="00B925B1"/>
    <w:rsid w:val="00BD16FA"/>
    <w:rsid w:val="00BF0403"/>
    <w:rsid w:val="00C40B53"/>
    <w:rsid w:val="00C774A5"/>
    <w:rsid w:val="00C822F7"/>
    <w:rsid w:val="00C97356"/>
    <w:rsid w:val="00CE17BB"/>
    <w:rsid w:val="00CF0477"/>
    <w:rsid w:val="00D204B9"/>
    <w:rsid w:val="00D23976"/>
    <w:rsid w:val="00DC76AE"/>
    <w:rsid w:val="00E45F76"/>
    <w:rsid w:val="00EE028A"/>
    <w:rsid w:val="00EE4D02"/>
    <w:rsid w:val="00EF3853"/>
    <w:rsid w:val="00F324A2"/>
    <w:rsid w:val="00F42CB9"/>
    <w:rsid w:val="00F577B2"/>
    <w:rsid w:val="224CEB32"/>
    <w:rsid w:val="25A83652"/>
    <w:rsid w:val="37A6DF0D"/>
    <w:rsid w:val="658C462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4B4B9"/>
  <w15:chartTrackingRefBased/>
  <w15:docId w15:val="{9F4E1B65-3861-44AE-9BF9-F18EC75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000F46"/>
      <w:sz w:val="32"/>
    </w:rPr>
  </w:style>
  <w:style w:type="paragraph" w:styleId="Heading2">
    <w:name w:val="heading 2"/>
    <w:pPr>
      <w:spacing w:after="160"/>
      <w:outlineLvl w:val="1"/>
    </w:pPr>
    <w:rPr>
      <w:rFonts w:ascii="Arial" w:eastAsia="Arial" w:hAnsi="Arial" w:cs="Arial" w:asciiTheme="Source Sans Pro"/>
      <w:b/>
      <w:color w:val="000F46"/>
      <w:sz w:val="28"/>
    </w:rPr>
  </w:style>
  <w:style w:type="paragraph" w:styleId="Heading3">
    <w:name w:val="heading 3"/>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4D02"/>
    <w:rPr>
      <w:sz w:val="16"/>
      <w:szCs w:val="16"/>
    </w:rPr>
  </w:style>
  <w:style w:type="paragraph" w:styleId="CommentText">
    <w:name w:val="annotation text"/>
    <w:basedOn w:val="Normal"/>
    <w:link w:val="CommentTextChar"/>
    <w:rsid w:val="00EE4D02"/>
    <w:rPr>
      <w:sz w:val="20"/>
      <w:szCs w:val="20"/>
    </w:rPr>
  </w:style>
  <w:style w:type="character" w:customStyle="1" w:styleId="CommentTextChar">
    <w:name w:val="Comment Text Char"/>
    <w:basedOn w:val="DefaultParagraphFont"/>
    <w:link w:val="CommentText"/>
    <w:rsid w:val="00EE4D02"/>
  </w:style>
  <w:style w:type="paragraph" w:styleId="CommentSubject">
    <w:name w:val="annotation subject"/>
    <w:basedOn w:val="CommentText"/>
    <w:next w:val="CommentText"/>
    <w:link w:val="CommentSubjectChar"/>
    <w:rsid w:val="00EE4D02"/>
    <w:rPr>
      <w:b/>
      <w:bCs/>
    </w:rPr>
  </w:style>
  <w:style w:type="character" w:customStyle="1" w:styleId="CommentSubjectChar">
    <w:name w:val="Comment Subject Char"/>
    <w:basedOn w:val="CommentTextChar"/>
    <w:link w:val="CommentSubject"/>
    <w:rsid w:val="00EE4D02"/>
    <w:rPr>
      <w:b/>
      <w:bCs/>
    </w:rPr>
  </w:style>
  <w:style w:type="paragraph" w:styleId="Revision">
    <w:name w:val="Revision"/>
    <w:hidden/>
    <w:uiPriority w:val="99"/>
    <w:semiHidden/>
    <w:rsid w:val="00F577B2"/>
    <w:rPr>
      <w:sz w:val="24"/>
      <w:szCs w:val="24"/>
    </w:rPr>
  </w:style>
  <w:style w:type="table" w:styleId="TableGrid">
    <w:name w:val="Table Grid"/>
    <w:basedOn w:val="TableNormal"/>
    <w:uiPriority w:val="59"/>
    <w:rsid w:val="009F30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basedOn w:val="DefaultParagraphFont"/>
    <w:uiPriority w:val="99"/>
    <w:unhideWhenUsed/>
    <w:qFormat/>
    <w:rsid w:val="009F309C"/>
    <w:rPr>
      <w:color w:val="0563C1" w:themeColor="hyperlink"/>
      <w:u w:val="single"/>
    </w:rPr>
  </w:style>
  <w:style w:type="paragraph" w:customStyle="1" w:styleId="MPLParagraphlevel1">
    <w:name w:val="MPL Paragraph level 1"/>
    <w:basedOn w:val="ListParagraph"/>
    <w:qFormat/>
    <w:rsid w:val="009F309C"/>
    <w:pPr>
      <w:numPr>
        <w:ilvl w:val="1"/>
        <w:numId w:val="1"/>
      </w:numPr>
      <w:tabs>
        <w:tab w:val="num" w:pos="360"/>
      </w:tabs>
      <w:spacing w:afterLines="50" w:after="120" w:line="276" w:lineRule="auto"/>
      <w:ind w:firstLine="0"/>
      <w:contextualSpacing w:val="0"/>
    </w:pPr>
    <w:rPr>
      <w:rFonts w:ascii="Source Sans Pro" w:eastAsia="Arial" w:hAnsi="Source Sans Pro" w:cs="Arial" w:asciiTheme="Source Sans Pro"/>
      <w:sz w:val="20"/>
      <w:szCs w:val="22"/>
      <w:lang w:val="en-US" w:eastAsia="en-US"/>
    </w:rPr>
  </w:style>
  <w:style w:type="paragraph" w:customStyle="1" w:styleId="MPLHeading1">
    <w:name w:val="MPL Heading 1"/>
    <w:basedOn w:val="Heading2"/>
    <w:qFormat/>
    <w:rsid w:val="009F309C"/>
    <w:pPr>
      <w:keepNext/>
      <w:keepLines/>
      <w:numPr>
        <w:numId w:val="1"/>
      </w:numPr>
      <w:spacing w:before="200" w:afterLines="50" w:after="120" w:line="276" w:lineRule="auto"/>
    </w:pPr>
    <w:rPr>
      <w:rFonts w:ascii="Source Sans Pro" w:eastAsiaTheme="majorEastAsia" w:hAnsi="Source Sans Pro" w:asciiTheme="Source Sans Pro"/>
      <w:bCs/>
      <w:color w:val="000F46"/>
      <w:sz w:val="32"/>
      <w:szCs w:val="26"/>
      <w:lang w:val="en-US" w:eastAsia="en-US"/>
    </w:rPr>
  </w:style>
  <w:style w:type="paragraph" w:customStyle="1" w:styleId="MPLParagraphlevel2">
    <w:name w:val="MPL Paragraph level 2"/>
    <w:basedOn w:val="ListParagraph"/>
    <w:qFormat/>
    <w:rsid w:val="009F309C"/>
    <w:pPr>
      <w:numPr>
        <w:ilvl w:val="2"/>
        <w:numId w:val="1"/>
      </w:numPr>
      <w:spacing w:after="200" w:line="276" w:lineRule="auto"/>
    </w:pPr>
    <w:rPr>
      <w:rFonts w:ascii="Source Sans Pro" w:eastAsiaTheme="minorEastAsia" w:hAnsi="Source Sans Pro" w:cs="Arial" w:asciiTheme="Source Sans Pro"/>
      <w:sz w:val="20"/>
      <w:szCs w:val="22"/>
      <w:lang w:val="en-US" w:eastAsia="en-US"/>
    </w:rPr>
  </w:style>
  <w:style w:type="paragraph" w:customStyle="1" w:styleId="MPLParagraphlevel3">
    <w:name w:val="MPL Paragraph level 3"/>
    <w:basedOn w:val="ListParagraph"/>
    <w:qFormat/>
    <w:rsid w:val="009F309C"/>
    <w:pPr>
      <w:numPr>
        <w:ilvl w:val="3"/>
        <w:numId w:val="1"/>
      </w:numPr>
      <w:tabs>
        <w:tab w:val="num" w:pos="360"/>
      </w:tabs>
      <w:spacing w:before="120" w:after="120" w:line="276" w:lineRule="auto"/>
      <w:ind w:left="720" w:firstLine="6"/>
    </w:pPr>
    <w:rPr>
      <w:rFonts w:ascii="Source Sans Pro" w:eastAsiaTheme="minorEastAsia" w:hAnsi="Source Sans Pro" w:cs="Arial" w:asciiTheme="Source Sans Pro"/>
      <w:sz w:val="20"/>
      <w:szCs w:val="22"/>
      <w:lang w:val="en-US" w:eastAsia="en-US"/>
    </w:rPr>
  </w:style>
  <w:style w:type="paragraph" w:customStyle="1" w:styleId="MPLParagraphlevel4">
    <w:name w:val="MPL Paragraph level 4"/>
    <w:basedOn w:val="ListParagraph"/>
    <w:qFormat/>
    <w:rsid w:val="009F309C"/>
    <w:pPr>
      <w:numPr>
        <w:ilvl w:val="4"/>
        <w:numId w:val="1"/>
      </w:numPr>
      <w:tabs>
        <w:tab w:val="num" w:pos="360"/>
      </w:tabs>
      <w:spacing w:afterLines="50" w:after="120" w:line="276" w:lineRule="auto"/>
      <w:ind w:left="720"/>
    </w:pPr>
    <w:rPr>
      <w:rFonts w:ascii="Source Sans Pro" w:eastAsiaTheme="minorEastAsia" w:hAnsi="Source Sans Pro" w:cs="Arial" w:asciiTheme="Source Sans Pro"/>
      <w:sz w:val="20"/>
      <w:szCs w:val="22"/>
      <w:lang w:val="en-US" w:eastAsia="en-US"/>
    </w:rPr>
  </w:style>
  <w:style w:type="paragraph" w:customStyle="1" w:styleId="MPFSubheading">
    <w:name w:val="MPF Subheading"/>
    <w:basedOn w:val="Heading3"/>
    <w:qFormat/>
    <w:rsid w:val="009F309C"/>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rPr>
  </w:style>
  <w:style w:type="paragraph" w:customStyle="1" w:styleId="MPLParapgrah">
    <w:name w:val="MPL Parapgrah"/>
    <w:basedOn w:val="Normal"/>
    <w:qFormat/>
    <w:rsid w:val="009F309C"/>
    <w:pPr>
      <w:spacing w:after="200" w:line="276" w:lineRule="auto"/>
    </w:pPr>
    <w:rPr>
      <w:rFonts w:ascii="Source Sans Pro" w:eastAsiaTheme="minorEastAsia" w:hAnsi="Source Sans Pro" w:cs="Arial"/>
      <w:sz w:val="20"/>
      <w:szCs w:val="22"/>
      <w:lang w:eastAsia="en-US"/>
    </w:rPr>
  </w:style>
  <w:style w:type="paragraph" w:customStyle="1" w:styleId="MPLNoNumberingHeadings">
    <w:name w:val="MPL No Numbering Headings"/>
    <w:basedOn w:val="Heading2"/>
    <w:qFormat/>
    <w:rsid w:val="009F309C"/>
    <w:pPr>
      <w:keepNext/>
      <w:keepLines/>
      <w:spacing w:before="200" w:after="0" w:line="276" w:lineRule="auto"/>
    </w:pPr>
    <w:rPr>
      <w:rFonts w:ascii="Source Sans Pro" w:eastAsiaTheme="majorEastAsia" w:hAnsi="Source Sans Pro" w:asciiTheme="Source Sans Pro"/>
      <w:bCs/>
      <w:color w:val="000F46"/>
      <w:sz w:val="32"/>
      <w:szCs w:val="26"/>
      <w:lang w:val="en-US" w:eastAsia="en-US"/>
    </w:rPr>
  </w:style>
  <w:style w:type="paragraph" w:styleId="ListParagraph">
    <w:name w:val="List Paragraph"/>
    <w:basedOn w:val="Normal"/>
    <w:uiPriority w:val="34"/>
    <w:qFormat/>
    <w:rsid w:val="009F309C"/>
    <w:pPr>
      <w:ind w:left="720"/>
      <w:contextualSpacing/>
    </w:pPr>
  </w:style>
  <w:style w:type="character" w:styleId="UnresolvedMention">
    <w:name w:val="Unresolved Mention"/>
    <w:basedOn w:val="DefaultParagraphFont"/>
    <w:uiPriority w:val="99"/>
    <w:semiHidden/>
    <w:unhideWhenUsed/>
    <w:rsid w:val="009F309C"/>
    <w:rPr>
      <w:color w:val="605E5C"/>
      <w:shd w:val="clear" w:color="auto" w:fill="E1DFDD"/>
    </w:rPr>
  </w:style>
  <w:style w:type="character" w:styleId="FollowedHyperlink">
    <w:name w:val="FollowedHyperlink"/>
    <w:basedOn w:val="DefaultParagraphFont"/>
    <w:rsid w:val="002B40FD"/>
    <w:rPr>
      <w:color w:val="954F72" w:themeColor="followedHyperlink"/>
      <w:u w:val="single"/>
    </w:rPr>
  </w:style>
  <w:style w:type="character" w:customStyle="1" w:styleId="markkpisgqkyh">
    <w:name w:val="markkpisgqkyh"/>
    <w:basedOn w:val="DefaultParagraphFont"/>
    <w:rsid w:val="002D7822"/>
  </w:style>
  <w:style w:type="character" w:customStyle="1" w:styleId="markuza98byrk">
    <w:name w:val="markuza98byrk"/>
    <w:basedOn w:val="DefaultParagraphFont"/>
    <w:rsid w:val="002D7822"/>
  </w:style>
  <w:style w:type="character" w:customStyle="1" w:styleId="mark9tzd5lnqb">
    <w:name w:val="mark9tzd5lnqb"/>
    <w:basedOn w:val="DefaultParagraphFont"/>
    <w:rsid w:val="002D7822"/>
  </w:style>
  <w:style w:type="character" w:customStyle="1" w:styleId="markyr2ezr44n">
    <w:name w:val="markyr2ezr44n"/>
    <w:basedOn w:val="DefaultParagraphFont"/>
    <w:rsid w:val="002D7822"/>
  </w:style>
  <w:style w:type="character" w:customStyle="1" w:styleId="mark7o46pobgk">
    <w:name w:val="mark7o46pobgk"/>
    <w:basedOn w:val="DefaultParagraphFont"/>
    <w:rsid w:val="002D7822"/>
  </w:style>
  <w:style w:type="character" w:customStyle="1" w:styleId="mark9wwlkg5po">
    <w:name w:val="mark9wwlkg5po"/>
    <w:basedOn w:val="DefaultParagraphFont"/>
    <w:rsid w:val="002D7822"/>
  </w:style>
  <w:style w:type="character" w:customStyle="1" w:styleId="markyvbz3b2kt">
    <w:name w:val="markyvbz3b2kt"/>
    <w:basedOn w:val="DefaultParagraphFont"/>
    <w:rsid w:val="002D7822"/>
  </w:style>
  <w:style w:type="character" w:customStyle="1" w:styleId="mark87radhgxx">
    <w:name w:val="mark87radhgxx"/>
    <w:basedOn w:val="DefaultParagraphFont"/>
    <w:rsid w:val="002D7822"/>
  </w:style>
  <w:style w:type="character" w:customStyle="1" w:styleId="mark9fxcsi516">
    <w:name w:val="mark9fxcsi516"/>
    <w:basedOn w:val="DefaultParagraphFont"/>
    <w:rsid w:val="002D7822"/>
  </w:style>
  <w:style w:type="character" w:customStyle="1" w:styleId="markwrrmm1iwz">
    <w:name w:val="markwrrmm1iwz"/>
    <w:basedOn w:val="DefaultParagraphFont"/>
    <w:rsid w:val="002D7822"/>
  </w:style>
  <w:style w:type="character" w:customStyle="1" w:styleId="markq3ohbbdb8">
    <w:name w:val="markq3ohbbdb8"/>
    <w:basedOn w:val="DefaultParagraphFont"/>
    <w:rsid w:val="002D7822"/>
  </w:style>
  <w:style w:type="character" w:customStyle="1" w:styleId="markolcmkh8kw">
    <w:name w:val="markolcmkh8kw"/>
    <w:basedOn w:val="DefaultParagraphFont"/>
    <w:rsid w:val="002D7822"/>
  </w:style>
  <w:style w:type="character" w:customStyle="1" w:styleId="markb2uxw71ms">
    <w:name w:val="markb2uxw71ms"/>
    <w:basedOn w:val="DefaultParagraphFont"/>
    <w:rsid w:val="002D7822"/>
  </w:style>
  <w:style w:type="character" w:customStyle="1" w:styleId="markmowg7ymm0">
    <w:name w:val="markmowg7ymm0"/>
    <w:basedOn w:val="DefaultParagraphFont"/>
    <w:rsid w:val="002D7822"/>
  </w:style>
  <w:style w:type="character" w:customStyle="1" w:styleId="markmmf2pne29">
    <w:name w:val="markmmf2pne29"/>
    <w:basedOn w:val="DefaultParagraphFont"/>
    <w:rsid w:val="002D7822"/>
  </w:style>
  <w:style w:type="character" w:customStyle="1" w:styleId="markx83nczytg">
    <w:name w:val="markx83nczytg"/>
    <w:basedOn w:val="DefaultParagraphFont"/>
    <w:rsid w:val="002D7822"/>
  </w:style>
  <w:style w:type="character" w:customStyle="1" w:styleId="mark8v5eln2g3">
    <w:name w:val="mark8v5eln2g3"/>
    <w:basedOn w:val="DefaultParagraphFont"/>
    <w:rsid w:val="002D7822"/>
  </w:style>
  <w:style w:type="character" w:customStyle="1" w:styleId="markihih28kpg">
    <w:name w:val="markihih28kpg"/>
    <w:basedOn w:val="DefaultParagraphFont"/>
    <w:rsid w:val="002D7822"/>
  </w:style>
  <w:style w:type="character" w:customStyle="1" w:styleId="markr2iysgenp">
    <w:name w:val="markr2iysgenp"/>
    <w:basedOn w:val="DefaultParagraphFont"/>
    <w:rsid w:val="002D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imelb.edu.au/governance/statutes" TargetMode="External"/><Relationship Id="rId18" Type="http://schemas.openxmlformats.org/officeDocument/2006/relationships/hyperlink" Target="http://www.comlaw.gov.au/Series/C2004A01234" TargetMode="External"/><Relationship Id="rId26" Type="http://schemas.openxmlformats.org/officeDocument/2006/relationships/hyperlink" Target="https://policy.unimelb.edu.au/MPF1209/" TargetMode="External"/><Relationship Id="rId39" Type="http://schemas.openxmlformats.org/officeDocument/2006/relationships/hyperlink" Target="https://gradresearch.unimelb.edu.au/" TargetMode="External"/><Relationship Id="rId3" Type="http://schemas.openxmlformats.org/officeDocument/2006/relationships/customXml" Target="../customXml/item3.xml"/><Relationship Id="rId21" Type="http://schemas.openxmlformats.org/officeDocument/2006/relationships/hyperlink" Target="https://handbook.unimelb.edu.au/" TargetMode="External"/><Relationship Id="rId34" Type="http://schemas.openxmlformats.org/officeDocument/2006/relationships/hyperlink" Target="https://policy.unimelb.edu.au/MPF1323/" TargetMode="External"/><Relationship Id="rId42" Type="http://schemas.openxmlformats.org/officeDocument/2006/relationships/hyperlink" Target="file:///C:\Users\pandr\Downloads\MPF1209" TargetMode="External"/><Relationship Id="rId7" Type="http://schemas.openxmlformats.org/officeDocument/2006/relationships/styles" Target="styles.xml"/><Relationship Id="rId12" Type="http://schemas.openxmlformats.org/officeDocument/2006/relationships/hyperlink" Target="http://www.legislation.vic.gov.au/domino/web_notes/ldms/pubstatbook.nsf/edfb620cf7503d1aca256da4001b08af/489fcdb5278f3602ca25767f00102b11/$file/09-078a.pdf" TargetMode="External"/><Relationship Id="rId17" Type="http://schemas.openxmlformats.org/officeDocument/2006/relationships/hyperlink" Target="http://www.comlaw.gov.au/Series/C2004A01234" TargetMode="External"/><Relationship Id="rId25" Type="http://schemas.openxmlformats.org/officeDocument/2006/relationships/hyperlink" Target="https://policy.unimelb.edu.au/MPF1294/" TargetMode="External"/><Relationship Id="rId33" Type="http://schemas.openxmlformats.org/officeDocument/2006/relationships/hyperlink" Target="https://gradresearch.unimelb.edu.au/" TargetMode="External"/><Relationship Id="rId38" Type="http://schemas.openxmlformats.org/officeDocument/2006/relationships/hyperlink" Target="file:///C:\Users\gsmith3\Downloads\MPF1327" TargetMode="External"/><Relationship Id="rId2" Type="http://schemas.openxmlformats.org/officeDocument/2006/relationships/customXml" Target="../customXml/item2.xml"/><Relationship Id="rId16" Type="http://schemas.openxmlformats.org/officeDocument/2006/relationships/hyperlink" Target="https://policy.unimelb.edu.au/MPF1295/" TargetMode="External"/><Relationship Id="rId20" Type="http://schemas.openxmlformats.org/officeDocument/2006/relationships/hyperlink" Target="https://policy.unimelb.edu.au/MPF1209/" TargetMode="External"/><Relationship Id="rId29" Type="http://schemas.openxmlformats.org/officeDocument/2006/relationships/hyperlink" Target="https://handbook.unimelb.edu.au/" TargetMode="External"/><Relationship Id="rId41" Type="http://schemas.openxmlformats.org/officeDocument/2006/relationships/hyperlink" Target="https://policy.unimelb.edu.au/MPF13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7/" TargetMode="External"/><Relationship Id="rId32" Type="http://schemas.openxmlformats.org/officeDocument/2006/relationships/hyperlink" Target="https://handbook.unimelb.edu.au/" TargetMode="External"/><Relationship Id="rId37" Type="http://schemas.openxmlformats.org/officeDocument/2006/relationships/hyperlink" Target="https://policy.unimelb.edu.au/MPF1294/" TargetMode="External"/><Relationship Id="rId40" Type="http://schemas.openxmlformats.org/officeDocument/2006/relationships/hyperlink" Target="https://policy.unimelb.edu.au/MPF1066/"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aff.unimelb.edu.au/students-teaching/graduate-research/infrastructure-principles" TargetMode="External"/><Relationship Id="rId23" Type="http://schemas.openxmlformats.org/officeDocument/2006/relationships/hyperlink" Target="https://handbook.unimelb.edu.au/" TargetMode="External"/><Relationship Id="rId28" Type="http://schemas.openxmlformats.org/officeDocument/2006/relationships/hyperlink" Target="https://handbook.unimelb.edu.au/" TargetMode="External"/><Relationship Id="rId36" Type="http://schemas.openxmlformats.org/officeDocument/2006/relationships/hyperlink" Target="https://staff.unimelb.edu.au/students-teaching/graduate-research/infrastructure-principles" TargetMode="External"/><Relationship Id="rId10" Type="http://schemas.openxmlformats.org/officeDocument/2006/relationships/footnotes" Target="footnotes.xml"/><Relationship Id="rId19" Type="http://schemas.openxmlformats.org/officeDocument/2006/relationships/hyperlink" Target="https://staff.unimelb.edu.au/students-teaching/graduate-research/policy/approved-outside-institutions" TargetMode="External"/><Relationship Id="rId31" Type="http://schemas.openxmlformats.org/officeDocument/2006/relationships/hyperlink" Target="https://www.iped-editors.org/wp-content/uploads/2021/05/ASEP-Flat-Onscreen-Vers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27/" TargetMode="External"/><Relationship Id="rId22" Type="http://schemas.openxmlformats.org/officeDocument/2006/relationships/hyperlink" Target="https://policy.unimelb.edu.au/MPF1363/" TargetMode="External"/><Relationship Id="rId27" Type="http://schemas.openxmlformats.org/officeDocument/2006/relationships/hyperlink" Target="https://policy.unimelb.edu.au/MPF1294/" TargetMode="External"/><Relationship Id="rId30" Type="http://schemas.openxmlformats.org/officeDocument/2006/relationships/hyperlink" Target="https://www.iped-editors.org/wp-content/uploads/2021/05/ASEP-Flat-Onscreen-Version.pdf" TargetMode="External"/><Relationship Id="rId35" Type="http://schemas.openxmlformats.org/officeDocument/2006/relationships/hyperlink" Target="https://policy.unimelb.edu.au/MPF1318/" TargetMode="External"/><Relationship Id="rId43" Type="http://schemas.openxmlformats.org/officeDocument/2006/relationships/footer" Target="footer1.xml"/><Relationship Id="rId46" Type="http://schemas.openxmlformats.org/officeDocument/2006/relationships/hyperlink" Target="https://policy.unimelb.edu.au/category/Research and Research Training/" TargetMode="External"/><Relationship Id="rId47"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97152F50CE741A620AEBC6332C950" ma:contentTypeVersion="15" ma:contentTypeDescription="Create a new document." ma:contentTypeScope="" ma:versionID="f05fbb0f1dbe78427e280543ba0973bb">
  <xsd:schema xmlns:xsd="http://www.w3.org/2001/XMLSchema" xmlns:xs="http://www.w3.org/2001/XMLSchema" xmlns:p="http://schemas.microsoft.com/office/2006/metadata/properties" xmlns:ns2="1faae734-3f95-482b-9b20-1c714b5f9197" xmlns:ns3="fa20e0e8-9650-4510-81c0-a3d913380d82" targetNamespace="http://schemas.microsoft.com/office/2006/metadata/properties" ma:root="true" ma:fieldsID="7cf148da461a6f1cd374bb92a9aa3da5" ns2:_="" ns3:_="">
    <xsd:import namespace="1faae734-3f95-482b-9b20-1c714b5f9197"/>
    <xsd:import namespace="fa20e0e8-9650-4510-81c0-a3d913380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734-3f95-482b-9b20-1c714b5f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0e0e8-9650-4510-81c0-a3d913380d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bb9ca4-6bf2-4d5d-b2eb-4cf630428da1}" ma:internalName="TaxCatchAll" ma:showField="CatchAllData" ma:web="fa20e0e8-9650-4510-81c0-a3d913380d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aae734-3f95-482b-9b20-1c714b5f9197">
      <Terms xmlns="http://schemas.microsoft.com/office/infopath/2007/PartnerControls"/>
    </lcf76f155ced4ddcb4097134ff3c332f>
    <TaxCatchAll xmlns="fa20e0e8-9650-4510-81c0-a3d913380d82"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303A369-D88A-4A76-A5EF-CFC0C8C7A308}">
  <ds:schemaRefs>
    <ds:schemaRef ds:uri="http://schemas.microsoft.com/sharepoint/v3/contenttype/forms"/>
  </ds:schemaRefs>
</ds:datastoreItem>
</file>

<file path=customXml/itemProps2.xml><?xml version="1.0" encoding="utf-8"?>
<ds:datastoreItem xmlns:ds="http://schemas.openxmlformats.org/officeDocument/2006/customXml" ds:itemID="{DCE34E87-C86F-4A8A-A4E2-EB63B38B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e734-3f95-482b-9b20-1c714b5f9197"/>
    <ds:schemaRef ds:uri="fa20e0e8-9650-4510-81c0-a3d913380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DBF1C-AD81-44CE-9378-CB1465CDE0A7}">
  <ds:schemaRefs>
    <ds:schemaRef ds:uri="http://schemas.openxmlformats.org/officeDocument/2006/bibliography"/>
  </ds:schemaRefs>
</ds:datastoreItem>
</file>

<file path=customXml/itemProps4.xml><?xml version="1.0" encoding="utf-8"?>
<ds:datastoreItem xmlns:ds="http://schemas.openxmlformats.org/officeDocument/2006/customXml" ds:itemID="{6A9DCDAD-CEC7-4B00-8B39-EB54A3506D48}">
  <ds:schemaRefs>
    <ds:schemaRef ds:uri="http://schemas.microsoft.com/office/2006/metadata/properties"/>
    <ds:schemaRef ds:uri="http://schemas.microsoft.com/office/infopath/2007/PartnerControls"/>
    <ds:schemaRef ds:uri="1faae734-3f95-482b-9b20-1c714b5f9197"/>
    <ds:schemaRef ds:uri="fa20e0e8-9650-4510-81c0-a3d913380d82"/>
  </ds:schemaRefs>
</ds:datastoreItem>
</file>

<file path=customXml/itemProps5.xml><?xml version="1.0" encoding="utf-8"?>
<ds:datastoreItem xmlns:ds="http://schemas.openxmlformats.org/officeDocument/2006/customXml" ds:itemID="{3E04D64E-BE60-4566-A211-9C3C3C6DA6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15276</Words>
  <Characters>82715</Characters>
  <Application>Microsoft Office Word</Application>
  <DocSecurity>0</DocSecurity>
  <Lines>689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7</cp:revision>
  <cp:lastPrinted>1899-12-31T14:00:00Z</cp:lastPrinted>
  <dcterms:created xsi:type="dcterms:W3CDTF">2023-05-02T05:22:00Z</dcterms:created>
  <dcterms:modified xsi:type="dcterms:W3CDTF">2023-05-02T06:10:00Z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0x0101008CC97152F50CE741A620AEBC6332C950</vt:lpwstr>
  </property>
  <property fmtid="{D5CDD505-2E9C-101B-9397-08002B2CF9AE}" pid="3" name="MediaServiceImageTags">
    <vt:lpwstr/>
  </property>
</Properties>
</file>