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r>
        <w:rPr>
          <w:b/>
        </w:rPr>
        <w:t>Alcohol Policy (MPF1267)</w:t>
      </w:r>
    </w:p>
    <w:p>
      <w:r/>
    </w:p>
    <w:p>
      <w:r>
        <w:rPr>
          <w:rFonts w:ascii="Source Sans Pro" w:hAnsi="Source Sans Pro"/>
          <w:b/>
          <w:sz w:val="20"/>
        </w:rPr>
        <w:t xml:space="preserve">Category: </w:t>
      </w:r>
      <w:r/>
      <w:hyperlink r:id="rId16">
        <w:r>
          <w:rPr>
            <w:color w:val="0000FF"/>
            <w:u w:val="single"/>
          </w:rPr>
          <w:t xml:space="preserve"> Health and Safety </w:t>
        </w:r>
      </w:hyperlink>
      <w:r/>
      <w:r>
        <w:br/>
      </w:r>
      <w:r>
        <w:rPr>
          <w:rFonts w:ascii="Source Sans Pro" w:hAnsi="Source Sans Pro"/>
          <w:b/>
          <w:sz w:val="20"/>
        </w:rPr>
        <w:t xml:space="preserve">Version: </w:t>
      </w:r>
      <w:r>
        <w:rPr>
          <w:rFonts w:ascii="Source Sans Pro" w:hAnsi="Source Sans Pro"/>
          <w:sz w:val="20"/>
        </w:rPr>
        <w:t>6</w:t>
        <w:br/>
      </w:r>
      <w:r>
        <w:rPr>
          <w:rFonts w:ascii="Source Sans Pro" w:hAnsi="Source Sans Pro"/>
          <w:b/>
          <w:sz w:val="20"/>
        </w:rPr>
        <w:t xml:space="preserve">Document Type: </w:t>
      </w:r>
      <w:r>
        <w:rPr>
          <w:rFonts w:ascii="Source Sans Pro" w:hAnsi="Source Sans Pro"/>
          <w:sz w:val="20"/>
        </w:rPr>
        <w:t>Policy</w:t>
        <w:br/>
      </w:r>
      <w:r>
        <w:rPr>
          <w:rFonts w:ascii="Source Sans Pro" w:hAnsi="Source Sans Pro"/>
          <w:b/>
          <w:sz w:val="20"/>
        </w:rPr>
        <w:t xml:space="preserve">Document Status: </w:t>
      </w:r>
      <w:r>
        <w:rPr>
          <w:rFonts w:ascii="Source Sans Pro" w:hAnsi="Source Sans Pro"/>
          <w:sz w:val="20"/>
        </w:rPr>
        <w:t>Published</w:t>
        <w:br/>
      </w:r>
      <w:r>
        <w:rPr>
          <w:rFonts w:ascii="Source Sans Pro" w:hAnsi="Source Sans Pro"/>
          <w:b/>
          <w:sz w:val="20"/>
        </w:rPr>
        <w:t xml:space="preserve">Approved Date: </w:t>
      </w:r>
      <w:r>
        <w:rPr>
          <w:rFonts w:ascii="Source Sans Pro" w:hAnsi="Source Sans Pro"/>
          <w:sz w:val="20"/>
        </w:rPr>
        <w:t>09 August, 2023</w:t>
        <w:br/>
      </w:r>
      <w:r>
        <w:rPr>
          <w:rFonts w:ascii="Source Sans Pro" w:hAnsi="Source Sans Pro"/>
          <w:b/>
          <w:sz w:val="20"/>
        </w:rPr>
        <w:t xml:space="preserve">Audience: </w:t>
      </w:r>
      <w:r>
        <w:rPr>
          <w:rFonts w:ascii="Source Sans Pro" w:hAnsi="Source Sans Pro"/>
          <w:sz w:val="20"/>
        </w:rPr>
        <w:t>Staff, Students, Research, Academic</w:t>
        <w:br/>
      </w:r>
      <w:r>
        <w:rPr>
          <w:rFonts w:ascii="Source Sans Pro" w:hAnsi="Source Sans Pro"/>
          <w:b/>
          <w:sz w:val="20"/>
        </w:rPr>
        <w:t xml:space="preserve">Effective Date: </w:t>
      </w:r>
      <w:r>
        <w:rPr>
          <w:rFonts w:ascii="Source Sans Pro" w:hAnsi="Source Sans Pro"/>
          <w:sz w:val="20"/>
        </w:rPr>
        <w:t>04 December, 2023</w:t>
        <w:br/>
      </w:r>
      <w:r>
        <w:rPr>
          <w:rFonts w:ascii="Source Sans Pro" w:hAnsi="Source Sans Pro"/>
          <w:b/>
          <w:sz w:val="20"/>
        </w:rPr>
        <w:t xml:space="preserve">Review due by: </w:t>
      </w:r>
      <w:r>
        <w:rPr>
          <w:rFonts w:ascii="Source Sans Pro" w:hAnsi="Source Sans Pro"/>
          <w:sz w:val="20"/>
        </w:rPr>
        <w:t>10 May, 2024</w:t>
        <w:br/>
      </w:r>
      <w:r>
        <w:rPr>
          <w:rFonts w:ascii="Source Sans Pro" w:hAnsi="Source Sans Pro"/>
          <w:b/>
          <w:sz w:val="20"/>
        </w:rPr>
        <w:t xml:space="preserve">Policy Approver: </w:t>
      </w:r>
      <w:r>
        <w:rPr>
          <w:rFonts w:ascii="Source Sans Pro" w:hAnsi="Source Sans Pro"/>
          <w:sz w:val="20"/>
        </w:rPr>
        <w:t>Vice-President Administration &amp; Finance And Chief Operating Officer</w:t>
        <w:br/>
      </w:r>
      <w:r>
        <w:rPr>
          <w:rFonts w:ascii="Source Sans Pro" w:hAnsi="Source Sans Pro"/>
          <w:b/>
          <w:sz w:val="20"/>
        </w:rPr>
        <w:t xml:space="preserve">Policy Steward: </w:t>
      </w:r>
      <w:r>
        <w:rPr>
          <w:rFonts w:ascii="Source Sans Pro" w:hAnsi="Source Sans Pro"/>
          <w:sz w:val="20"/>
        </w:rPr>
        <w:t>Director, Health And Safety</w:t>
        <w:br/>
      </w:r>
      <w:r>
        <w:rPr>
          <w:rFonts w:ascii="Source Sans Pro" w:hAnsi="Source Sans Pro"/>
          <w:b/>
          <w:sz w:val="20"/>
        </w:rPr>
        <w:t xml:space="preserve">Supporting Process: </w:t>
      </w:r>
      <w:r/>
      <w:r>
        <w:br/>
      </w:r>
      <w:hyperlink r:id="rId17">
        <w:r>
          <w:rPr>
            <w:color w:val="0000FF"/>
            <w:u w:val="single"/>
          </w:rPr>
          <w:t>Health and Safety Processes</w:t>
        </w:r>
      </w:hyperlink>
      <w:r/>
      <w:r>
        <w:br/>
      </w:r>
    </w:p>
    <w:p w14:paraId="4EF00D9B" w14:textId="53C7C617" w:rsidR="00CF470F" w:rsidRDefault="006907CC" w:rsidP="006907CC">
      <w:pPr>
        <w:pStyle w:val="MPLHeading1"/>
      </w:pPr>
      <w:r>
        <w:t xml:space="preserve">Objective </w:t>
      </w:r>
    </w:p>
    <w:p w14:paraId="6A46C14F" w14:textId="77777777" w:rsidR="00CF470F" w:rsidRDefault="006907CC" w:rsidP="006907CC">
      <w:pPr>
        <w:pStyle w:val="MPLParagraphlevel1"/>
      </w:pPr>
      <w:r>
        <w:t xml:space="preserve">The objectives of this policy are to: </w:t>
      </w:r>
    </w:p>
    <w:p w14:paraId="3772D0E9" w14:textId="3B8BDE25" w:rsidR="00CF470F" w:rsidRDefault="006907CC" w:rsidP="006907CC">
      <w:pPr>
        <w:pStyle w:val="MPLParagraphlevel2"/>
      </w:pPr>
      <w:r>
        <w:t xml:space="preserve">prevent harm from the consumption of alcohol; </w:t>
      </w:r>
    </w:p>
    <w:p w14:paraId="4AC552FC" w14:textId="7E3BFB9D" w:rsidR="00CF470F" w:rsidRDefault="006907CC" w:rsidP="006907CC">
      <w:pPr>
        <w:pStyle w:val="MPLParagraphlevel2"/>
      </w:pPr>
      <w:r>
        <w:t xml:space="preserve"> set out the University’s commitment to provide an inclusive environment for all members of the University community who choose not to consume alcohol; </w:t>
      </w:r>
    </w:p>
    <w:p w14:paraId="0F0D6D4F" w14:textId="40D62079" w:rsidR="00CF470F" w:rsidRDefault="006907CC" w:rsidP="006907CC">
      <w:pPr>
        <w:pStyle w:val="MPLParagraphlevel2"/>
      </w:pPr>
      <w:r>
        <w:t xml:space="preserve">set out the University’s commitment to the responsible management of alcohol service and consumption; and </w:t>
      </w:r>
    </w:p>
    <w:p w14:paraId="1127286C" w14:textId="0375234F" w:rsidR="00CF470F" w:rsidRDefault="006907CC" w:rsidP="006907CC">
      <w:pPr>
        <w:pStyle w:val="MPLParagraphlevel2"/>
      </w:pPr>
      <w:r>
        <w:t xml:space="preserve">establish expectations of employees, students, managers and supervisors with respect to the service and consumption of alcohol while on University premises, performing duties for the University or representing the University. </w:t>
      </w:r>
    </w:p>
    <w:p w14:paraId="26467DF8" w14:textId="7D081AF2" w:rsidR="00CF470F" w:rsidRDefault="006907CC" w:rsidP="006907CC">
      <w:pPr>
        <w:pStyle w:val="MPLHeading1"/>
      </w:pPr>
      <w:r>
        <w:t xml:space="preserve">Scope </w:t>
      </w:r>
    </w:p>
    <w:p w14:paraId="795B588D" w14:textId="77777777" w:rsidR="00CF470F" w:rsidRDefault="006907CC" w:rsidP="006907CC">
      <w:pPr>
        <w:pStyle w:val="MPLParagraphlevel1"/>
      </w:pPr>
      <w:r>
        <w:t xml:space="preserve">This policy applies to: </w:t>
      </w:r>
    </w:p>
    <w:p w14:paraId="406101AC" w14:textId="0E96AD16" w:rsidR="00CF470F" w:rsidRDefault="006907CC" w:rsidP="006907CC">
      <w:pPr>
        <w:pStyle w:val="MPLParagraphlevel2"/>
      </w:pPr>
      <w:r>
        <w:t xml:space="preserve">all members of the University community, including students, employees, independent contractors, honoraries and visiting fellows; </w:t>
      </w:r>
    </w:p>
    <w:p w14:paraId="648A056A" w14:textId="1A967C6B" w:rsidR="00CF470F" w:rsidRDefault="006907CC" w:rsidP="006907CC">
      <w:pPr>
        <w:pStyle w:val="MPLParagraphlevel2"/>
      </w:pPr>
      <w:r>
        <w:t xml:space="preserve">visitors to the University; </w:t>
      </w:r>
    </w:p>
    <w:p w14:paraId="1DFE9CDC" w14:textId="21F037DE" w:rsidR="00CF470F" w:rsidRDefault="006907CC" w:rsidP="006907CC">
      <w:pPr>
        <w:pStyle w:val="MPLParagraphlevel2"/>
      </w:pPr>
      <w:r>
        <w:t xml:space="preserve">University campuses, teaching sites and University-controlled residential accommodation services; </w:t>
      </w:r>
    </w:p>
    <w:p w14:paraId="4BD4663C" w14:textId="08D03451" w:rsidR="00CF470F" w:rsidRDefault="006907CC" w:rsidP="006907CC">
      <w:pPr>
        <w:pStyle w:val="MPLParagraphlevel2"/>
      </w:pPr>
      <w:r>
        <w:t xml:space="preserve">events involving alcohol that are undertaken at University-controlled sites; and </w:t>
      </w:r>
    </w:p>
    <w:p w14:paraId="2E62DC1F" w14:textId="2BAC6230" w:rsidR="00CF470F" w:rsidRDefault="006907CC" w:rsidP="006907CC">
      <w:pPr>
        <w:pStyle w:val="MPLParagraphlevel2"/>
      </w:pPr>
      <w:r>
        <w:t xml:space="preserve">events involving alcohol that are organised or controlled by the University, including University-controlled entities, University business operations and University clubs affiliated to the University through a student association. </w:t>
      </w:r>
    </w:p>
    <w:p w14:paraId="21A36050" w14:textId="31D19EEB" w:rsidR="00CF470F" w:rsidRDefault="006907CC" w:rsidP="006907CC">
      <w:pPr>
        <w:pStyle w:val="MPLHeading1"/>
      </w:pPr>
      <w:r>
        <w:t xml:space="preserve">Authority </w:t>
      </w:r>
    </w:p>
    <w:p w14:paraId="13B2A8BE" w14:textId="446E1073" w:rsidR="00CF470F" w:rsidRDefault="006907CC" w:rsidP="006907CC">
      <w:pPr>
        <w:pStyle w:val="MPLParagraphlevel1"/>
      </w:pPr>
      <w:r>
        <w:t xml:space="preserve">This policy is made under the </w:t>
      </w:r>
      <w:hyperlink r:id="rId8"/>
      <w:hyperlink r:id="rId9">
        <w:r>
          <w:rPr>
            <w:i/>
            <w:iCs/>
            <w:color w:val="0000EE"/>
            <w:u w:val="single"/>
          </w:rPr>
          <w:t>Un</w:t>
        </w:r>
        <w:r w:rsidRPr="006907CC">
          <w:rPr>
            <w:i/>
            <w:iCs/>
            <w:color w:val="0000EE"/>
            <w:u w:val="single"/>
          </w:rPr>
          <w:t xml:space="preserve">iversity of Melbourne Act 2009 </w:t>
        </w:r>
        <w:r>
          <w:rPr>
            <w:color w:val="0000EE"/>
            <w:u w:val="single"/>
          </w:rPr>
          <w:t>(Vic)</w:t>
        </w:r>
      </w:hyperlink>
      <w:r>
        <w:t xml:space="preserve"> and the </w:t>
      </w:r>
      <w:hyperlink r:id="rId10">
        <w:r>
          <w:rPr>
            <w:color w:val="0000EE"/>
            <w:u w:val="single"/>
          </w:rPr>
          <w:t xml:space="preserve">Vice-Chancellor Regulation </w:t>
        </w:r>
      </w:hyperlink>
      <w:r>
        <w:t xml:space="preserve">and supports compliance with the: </w:t>
      </w:r>
    </w:p>
    <w:p w14:paraId="48004608" w14:textId="28AED2CE" w:rsidR="00CF470F" w:rsidRDefault="006907CC" w:rsidP="006907CC">
      <w:pPr>
        <w:pStyle w:val="MPLParagraphlevel2"/>
      </w:pPr>
      <w:r w:rsidRPr="006907CC">
        <w:rPr>
          <w:i/>
          <w:iCs/>
        </w:rPr>
        <w:t>Drugs, Poisons and Controlled Substances Act 1981</w:t>
      </w:r>
      <w:r>
        <w:t xml:space="preserve"> (Vic); </w:t>
      </w:r>
    </w:p>
    <w:p w14:paraId="4D8B85E9" w14:textId="45725B14" w:rsidR="00CF470F" w:rsidRDefault="006907CC" w:rsidP="006907CC">
      <w:pPr>
        <w:pStyle w:val="MPLParagraphlevel2"/>
      </w:pPr>
      <w:r>
        <w:t xml:space="preserve"> </w:t>
      </w:r>
      <w:r w:rsidRPr="006907CC">
        <w:rPr>
          <w:i/>
          <w:iCs/>
        </w:rPr>
        <w:t>Liquor Control Reform Act 1998</w:t>
      </w:r>
      <w:r>
        <w:t xml:space="preserve"> (Vic); </w:t>
      </w:r>
    </w:p>
    <w:p w14:paraId="7C9D0FC9" w14:textId="58747227" w:rsidR="00CF470F" w:rsidRDefault="006907CC" w:rsidP="006907CC">
      <w:pPr>
        <w:pStyle w:val="MPLParagraphlevel2"/>
      </w:pPr>
      <w:r w:rsidRPr="006907CC">
        <w:rPr>
          <w:i/>
          <w:iCs/>
        </w:rPr>
        <w:t>Occupational Health and Safety Act 2004</w:t>
      </w:r>
      <w:r>
        <w:t xml:space="preserve"> (Vic); and </w:t>
      </w:r>
    </w:p>
    <w:p w14:paraId="3073918C" w14:textId="1E0C49B5" w:rsidR="00CF470F" w:rsidRDefault="006907CC" w:rsidP="006907CC">
      <w:pPr>
        <w:pStyle w:val="MPLParagraphlevel2"/>
      </w:pPr>
      <w:r w:rsidRPr="006907CC">
        <w:rPr>
          <w:i/>
          <w:iCs/>
        </w:rPr>
        <w:t>Summary Offences Act 1966</w:t>
      </w:r>
      <w:r>
        <w:t xml:space="preserve"> (Vic). </w:t>
      </w:r>
    </w:p>
    <w:p w14:paraId="5CA387B1" w14:textId="36B5B2F6" w:rsidR="00CF470F" w:rsidRDefault="006907CC" w:rsidP="006907CC">
      <w:pPr>
        <w:pStyle w:val="MPLHeading1"/>
      </w:pPr>
      <w:r>
        <w:t xml:space="preserve">Policy </w:t>
      </w:r>
    </w:p>
    <w:p w14:paraId="0899775B" w14:textId="4F502BBA" w:rsidR="00CF470F" w:rsidRDefault="006907CC" w:rsidP="006907CC">
      <w:pPr>
        <w:pStyle w:val="MPLParagraphlevel1"/>
      </w:pPr>
      <w:r>
        <w:t xml:space="preserve">The University aims to: </w:t>
      </w:r>
    </w:p>
    <w:p w14:paraId="0284A0AD" w14:textId="73984AB8" w:rsidR="00CF470F" w:rsidRDefault="006907CC" w:rsidP="006907CC">
      <w:pPr>
        <w:pStyle w:val="MPLParagraphlevel2"/>
      </w:pPr>
      <w:r>
        <w:t xml:space="preserve">ensure a safe working, learning and recreational environment which minimises alcohol-related harm to individuals and behaviour that may cause harm to other people or property; </w:t>
      </w:r>
    </w:p>
    <w:p w14:paraId="3514AC52" w14:textId="3EFB85FF" w:rsidR="00CF470F" w:rsidRDefault="006907CC" w:rsidP="006907CC">
      <w:pPr>
        <w:pStyle w:val="MPLParagraphlevel2"/>
      </w:pPr>
      <w:r>
        <w:t xml:space="preserve">permit the responsible use of alcohol in an environment that is free of inducement and social pressure to consume it; and </w:t>
      </w:r>
    </w:p>
    <w:p w14:paraId="7523845B" w14:textId="3BB6724E" w:rsidR="00CF470F" w:rsidRDefault="006907CC" w:rsidP="006907CC">
      <w:pPr>
        <w:pStyle w:val="MPLParagraphlevel2"/>
      </w:pPr>
      <w:r>
        <w:t xml:space="preserve">provide support services to assist employees and students with alcohol-related issues. </w:t>
      </w:r>
    </w:p>
    <w:p w14:paraId="6E997B3C" w14:textId="258FCAC8" w:rsidR="00CF470F" w:rsidRDefault="006907CC" w:rsidP="006907CC">
      <w:pPr>
        <w:pStyle w:val="MPLParagraphlevel1"/>
      </w:pPr>
      <w:r>
        <w:t xml:space="preserve">Where persons are impaired due to the consumption of alcohol, the University: </w:t>
      </w:r>
    </w:p>
    <w:p w14:paraId="1119A775" w14:textId="26EAF031" w:rsidR="00CF470F" w:rsidRDefault="006907CC" w:rsidP="006907CC">
      <w:pPr>
        <w:pStyle w:val="MPLParagraphlevel2"/>
      </w:pPr>
      <w:r>
        <w:t xml:space="preserve">may request the person to leave the event or workplace until such time as they are no longer impaired; and </w:t>
      </w:r>
    </w:p>
    <w:p w14:paraId="2039F452" w14:textId="1454353F" w:rsidR="00CF470F" w:rsidRDefault="006907CC" w:rsidP="006907CC">
      <w:pPr>
        <w:pStyle w:val="MPLParagraphlevel2"/>
      </w:pPr>
      <w:r>
        <w:t xml:space="preserve">will take reasonable steps to remove the person’s access to University vehicles and equipment until such time as they are no longer impaired. </w:t>
      </w:r>
    </w:p>
    <w:p w14:paraId="6A5EA5D5" w14:textId="78914C23" w:rsidR="00CF470F" w:rsidRDefault="006907CC" w:rsidP="006907CC">
      <w:pPr>
        <w:pStyle w:val="MPLParagraphlevel1"/>
      </w:pPr>
      <w:r>
        <w:t xml:space="preserve">Where alcohol is consumed at a University event, the University requires all: </w:t>
      </w:r>
    </w:p>
    <w:p w14:paraId="4C0CD77C" w14:textId="29179FFD" w:rsidR="00CF470F" w:rsidRDefault="006907CC" w:rsidP="006907CC">
      <w:pPr>
        <w:pStyle w:val="MPLParagraphlevel2"/>
      </w:pPr>
      <w:r>
        <w:lastRenderedPageBreak/>
        <w:t xml:space="preserve">staff will conduct themselves in accordance with the requirements of the Appropriate Workplace </w:t>
      </w:r>
      <w:proofErr w:type="spellStart"/>
      <w:r>
        <w:t>Behaviour</w:t>
      </w:r>
      <w:proofErr w:type="spellEnd"/>
      <w:r>
        <w:t xml:space="preserve"> Policy (</w:t>
      </w:r>
      <w:hyperlink r:id="rId11">
        <w:r>
          <w:rPr>
            <w:color w:val="0000EE"/>
            <w:u w:val="single"/>
          </w:rPr>
          <w:t>MPF1328</w:t>
        </w:r>
      </w:hyperlink>
      <w:r>
        <w:t xml:space="preserve">) and will </w:t>
      </w:r>
      <w:proofErr w:type="gramStart"/>
      <w:r>
        <w:t>remain courteous and appropriate at all times</w:t>
      </w:r>
      <w:proofErr w:type="gramEnd"/>
      <w:r>
        <w:t xml:space="preserve">. </w:t>
      </w:r>
    </w:p>
    <w:p w14:paraId="23B39A99" w14:textId="4A1E124E" w:rsidR="00CF470F" w:rsidRDefault="006907CC" w:rsidP="006907CC">
      <w:pPr>
        <w:pStyle w:val="MPLParagraphlevel2"/>
      </w:pPr>
      <w:r>
        <w:t>students will conduct themselves in accordance with the requirements of the Student Conduct Policy (</w:t>
      </w:r>
      <w:hyperlink r:id="rId12">
        <w:r>
          <w:rPr>
            <w:color w:val="0000EE"/>
            <w:u w:val="single"/>
          </w:rPr>
          <w:t>MPF1324</w:t>
        </w:r>
      </w:hyperlink>
      <w:r>
        <w:t xml:space="preserve">). </w:t>
      </w:r>
    </w:p>
    <w:p w14:paraId="3C3E9E4C" w14:textId="467AB12E" w:rsidR="00CF470F" w:rsidRDefault="006907CC" w:rsidP="006907CC">
      <w:pPr>
        <w:pStyle w:val="MPLParagraphlevel2"/>
      </w:pPr>
      <w:r>
        <w:t xml:space="preserve">contractors, visitors and others will conduct themselves in accordance with the responsible behaviour and will </w:t>
      </w:r>
      <w:proofErr w:type="gramStart"/>
      <w:r>
        <w:t>remain courteous and appropriate at all times</w:t>
      </w:r>
      <w:proofErr w:type="gramEnd"/>
      <w:r>
        <w:t xml:space="preserve">. </w:t>
      </w:r>
    </w:p>
    <w:p w14:paraId="494BA4B9" w14:textId="6B53DBFE" w:rsidR="00CF470F" w:rsidRDefault="006907CC" w:rsidP="006907CC">
      <w:pPr>
        <w:pStyle w:val="MPLHeading1"/>
      </w:pPr>
      <w:r>
        <w:t xml:space="preserve">Procedural principles </w:t>
      </w:r>
    </w:p>
    <w:p w14:paraId="75FB223F" w14:textId="77777777" w:rsidR="00CF470F" w:rsidRDefault="006907CC" w:rsidP="006907CC">
      <w:pPr>
        <w:pStyle w:val="MPFSubheading"/>
      </w:pPr>
      <w:r>
        <w:t xml:space="preserve">Head of division responsibilities </w:t>
      </w:r>
    </w:p>
    <w:p w14:paraId="3E5DD14F" w14:textId="33685A98" w:rsidR="00CF470F" w:rsidRDefault="006907CC" w:rsidP="006907CC">
      <w:pPr>
        <w:pStyle w:val="MPLParagraphlevel1"/>
      </w:pPr>
      <w:r>
        <w:t xml:space="preserve">Heads of divisions will ensure that alcohol is managed and used appropriately within their division by: </w:t>
      </w:r>
    </w:p>
    <w:p w14:paraId="30339872" w14:textId="6B7AE9BE" w:rsidR="00CF470F" w:rsidRDefault="006907CC" w:rsidP="006907CC">
      <w:pPr>
        <w:pStyle w:val="MPLParagraphlevel2"/>
      </w:pPr>
      <w:r>
        <w:t xml:space="preserve">assessing and determining the level of risk associated with service and/or consumption of alcohol in accordance with supporting processes; </w:t>
      </w:r>
    </w:p>
    <w:p w14:paraId="466C1199" w14:textId="643B3046" w:rsidR="00CF470F" w:rsidRDefault="006907CC" w:rsidP="006907CC">
      <w:pPr>
        <w:pStyle w:val="MPLParagraphlevel2"/>
      </w:pPr>
      <w:r>
        <w:t xml:space="preserve">implementing appropriate management and mitigation strategies for the responsible service and/or consumption of alcohol; </w:t>
      </w:r>
    </w:p>
    <w:p w14:paraId="3AEBFFA9" w14:textId="57D376EF" w:rsidR="00CF470F" w:rsidRDefault="006907CC" w:rsidP="006907CC">
      <w:pPr>
        <w:pStyle w:val="MPLParagraphlevel2"/>
      </w:pPr>
      <w:r>
        <w:t xml:space="preserve">ensuring that a safe and welcoming environment is provided for persons who choose not to consume alcohol; </w:t>
      </w:r>
    </w:p>
    <w:p w14:paraId="0ABBD183" w14:textId="28B37074" w:rsidR="00CF470F" w:rsidRDefault="006907CC" w:rsidP="006907CC">
      <w:pPr>
        <w:pStyle w:val="MPLParagraphlevel2"/>
      </w:pPr>
      <w:r>
        <w:t xml:space="preserve">ensuring that alcohol is not served to persons under 18 years of age or persons who are impaired by alcohol; and </w:t>
      </w:r>
    </w:p>
    <w:p w14:paraId="62613D45" w14:textId="1E0698BD" w:rsidR="00CF470F" w:rsidRDefault="006907CC" w:rsidP="006907CC">
      <w:pPr>
        <w:pStyle w:val="MPLParagraphlevel2"/>
      </w:pPr>
      <w:r>
        <w:t xml:space="preserve">ensuring reasonable steps are taken to restrict alcohol impaired or intoxicated persons access to University vehicles and regulated plant and discourage such persons from driving private vehicles. </w:t>
      </w:r>
    </w:p>
    <w:p w14:paraId="47786020" w14:textId="77777777" w:rsidR="00CF470F" w:rsidRDefault="006907CC" w:rsidP="006907CC">
      <w:pPr>
        <w:pStyle w:val="MPFSubheading"/>
      </w:pPr>
      <w:r>
        <w:t xml:space="preserve">Event Manager responsibilities </w:t>
      </w:r>
    </w:p>
    <w:p w14:paraId="700C8037" w14:textId="630EFAEB" w:rsidR="00CF470F" w:rsidRDefault="006907CC" w:rsidP="006907CC">
      <w:pPr>
        <w:pStyle w:val="MPLParagraphlevel1"/>
      </w:pPr>
      <w:r>
        <w:t xml:space="preserve">Event managers will ensure that alcohol is managed and used appropriately at University events by: </w:t>
      </w:r>
    </w:p>
    <w:p w14:paraId="2A9FC0F5" w14:textId="6908ADCF" w:rsidR="00CF470F" w:rsidRDefault="006907CC" w:rsidP="006907CC">
      <w:pPr>
        <w:pStyle w:val="MPLParagraphlevel2"/>
      </w:pPr>
      <w:r>
        <w:t xml:space="preserve">assessing and determining the level of risk associated with service and/or consumption of alcohol in accordance with supporting processes; </w:t>
      </w:r>
    </w:p>
    <w:p w14:paraId="4DBA3DF6" w14:textId="1176AE6F" w:rsidR="00CF470F" w:rsidRDefault="006907CC" w:rsidP="006907CC">
      <w:pPr>
        <w:pStyle w:val="MPLParagraphlevel2"/>
      </w:pPr>
      <w:r>
        <w:t xml:space="preserve">implementing appropriate management and mitigation strategies for the responsible service and/or consumption of alcohol; </w:t>
      </w:r>
    </w:p>
    <w:p w14:paraId="7CE7E0BA" w14:textId="53294CDA" w:rsidR="00CF470F" w:rsidRDefault="006907CC" w:rsidP="006907CC">
      <w:pPr>
        <w:pStyle w:val="MPLParagraphlevel2"/>
      </w:pPr>
      <w:r>
        <w:t xml:space="preserve">ensuring that a safe and welcoming environment is provided for persons who choose not to consume alcohol; </w:t>
      </w:r>
    </w:p>
    <w:p w14:paraId="66A54205" w14:textId="7C95277B" w:rsidR="00CF470F" w:rsidRDefault="006907CC" w:rsidP="006907CC">
      <w:pPr>
        <w:pStyle w:val="MPLParagraphlevel2"/>
      </w:pPr>
      <w:r>
        <w:t xml:space="preserve">ensuring that alcohol is not served to persons under 18 years of age or persons who are impaired by alcohol; and </w:t>
      </w:r>
    </w:p>
    <w:p w14:paraId="6CE29CCB" w14:textId="19246BAF" w:rsidR="00CF470F" w:rsidRDefault="006907CC" w:rsidP="006907CC">
      <w:pPr>
        <w:pStyle w:val="MPLParagraphlevel2"/>
      </w:pPr>
      <w:r>
        <w:t xml:space="preserve">ensuring reasonable steps are taken to restrict alcohol impaired or intoxicated persons access to University vehicles and regulated plant and discourage such persons from driving private vehicles. </w:t>
      </w:r>
    </w:p>
    <w:p w14:paraId="4CA615ED" w14:textId="77777777" w:rsidR="00CF470F" w:rsidRDefault="006907CC" w:rsidP="006907CC">
      <w:pPr>
        <w:pStyle w:val="MPFSubheading"/>
      </w:pPr>
      <w:r>
        <w:t xml:space="preserve">University support </w:t>
      </w:r>
    </w:p>
    <w:p w14:paraId="1AA3FA72" w14:textId="26A5A55E" w:rsidR="00CF470F" w:rsidRDefault="006907CC" w:rsidP="006907CC">
      <w:pPr>
        <w:pStyle w:val="MPLParagraphlevel1"/>
      </w:pPr>
      <w:r>
        <w:t xml:space="preserve">The University will provide support for employees and students who are experiencing alcohol-related issues, including addiction. This support may take the form of: </w:t>
      </w:r>
    </w:p>
    <w:p w14:paraId="1FCB969F" w14:textId="31683176" w:rsidR="00CF470F" w:rsidRDefault="006907CC" w:rsidP="006907CC">
      <w:pPr>
        <w:pStyle w:val="MPLParagraphlevel2"/>
      </w:pPr>
      <w:r>
        <w:t xml:space="preserve">referral to appropriate counselling or medical services; </w:t>
      </w:r>
    </w:p>
    <w:p w14:paraId="605E15DF" w14:textId="011E0CD7" w:rsidR="00CF470F" w:rsidRDefault="006907CC" w:rsidP="006907CC">
      <w:pPr>
        <w:pStyle w:val="MPLParagraphlevel2"/>
      </w:pPr>
      <w:r>
        <w:t xml:space="preserve">facilitation of time to attend treatment and management programs; or </w:t>
      </w:r>
    </w:p>
    <w:p w14:paraId="1479EA20" w14:textId="328926FF" w:rsidR="00CF470F" w:rsidRDefault="006907CC" w:rsidP="006907CC">
      <w:pPr>
        <w:pStyle w:val="MPLParagraphlevel2"/>
      </w:pPr>
      <w:r>
        <w:t xml:space="preserve">any other support that the University considers appropriate in the circumstances. </w:t>
      </w:r>
    </w:p>
    <w:p w14:paraId="2417867F" w14:textId="19F3F45D" w:rsidR="00CF470F" w:rsidRDefault="006907CC" w:rsidP="006907CC">
      <w:pPr>
        <w:pStyle w:val="MPLHeading1"/>
      </w:pPr>
      <w:r>
        <w:t xml:space="preserve">Roles and responsibilities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F470F" w14:paraId="5263D6E4" w14:textId="77777777">
        <w:tc>
          <w:tcPr>
            <w:tcW w:w="2880" w:type="dxa"/>
          </w:tcPr>
          <w:p w14:paraId="358F8ACF" w14:textId="77777777" w:rsidR="00CF470F" w:rsidRDefault="00CF470F" w:rsidP="006907CC">
            <w:pPr>
              <w:pStyle w:val="MPLParapgrah"/>
            </w:pPr>
          </w:p>
          <w:p w14:paraId="5ECCE46A" w14:textId="77777777" w:rsidR="00CF470F" w:rsidRDefault="006907CC" w:rsidP="006907CC">
            <w:pPr>
              <w:pStyle w:val="MPLParapgrah"/>
            </w:pPr>
            <w:r>
              <w:rPr>
                <w:i/>
              </w:rPr>
              <w:t xml:space="preserve">Role/Decision/Action </w:t>
            </w:r>
          </w:p>
        </w:tc>
        <w:tc>
          <w:tcPr>
            <w:tcW w:w="2880" w:type="dxa"/>
          </w:tcPr>
          <w:p w14:paraId="75639FB4" w14:textId="77777777" w:rsidR="00CF470F" w:rsidRDefault="00CF470F" w:rsidP="006907CC">
            <w:pPr>
              <w:pStyle w:val="MPLParapgrah"/>
            </w:pPr>
          </w:p>
          <w:p w14:paraId="09F2BD7F" w14:textId="77777777" w:rsidR="00CF470F" w:rsidRDefault="006907CC" w:rsidP="006907CC">
            <w:pPr>
              <w:pStyle w:val="MPLParapgrah"/>
            </w:pPr>
            <w:r>
              <w:rPr>
                <w:i/>
              </w:rPr>
              <w:t xml:space="preserve">Responsibility </w:t>
            </w:r>
          </w:p>
        </w:tc>
        <w:tc>
          <w:tcPr>
            <w:tcW w:w="2880" w:type="dxa"/>
          </w:tcPr>
          <w:p w14:paraId="405C636A" w14:textId="77777777" w:rsidR="00CF470F" w:rsidRDefault="00CF470F" w:rsidP="006907CC">
            <w:pPr>
              <w:pStyle w:val="MPLParapgrah"/>
            </w:pPr>
          </w:p>
          <w:p w14:paraId="335EAEC7" w14:textId="77777777" w:rsidR="00CF470F" w:rsidRDefault="006907CC" w:rsidP="006907CC">
            <w:pPr>
              <w:pStyle w:val="MPLParapgrah"/>
            </w:pPr>
            <w:r>
              <w:rPr>
                <w:i/>
              </w:rPr>
              <w:t xml:space="preserve">Conditions and limitations </w:t>
            </w:r>
          </w:p>
        </w:tc>
      </w:tr>
      <w:tr w:rsidR="00CF470F" w14:paraId="76BAE5BA" w14:textId="77777777">
        <w:tc>
          <w:tcPr>
            <w:tcW w:w="2880" w:type="dxa"/>
          </w:tcPr>
          <w:p w14:paraId="5B37D76C" w14:textId="77777777" w:rsidR="00CF470F" w:rsidRDefault="00CF470F" w:rsidP="006907CC">
            <w:pPr>
              <w:pStyle w:val="MPLParapgrah"/>
            </w:pPr>
          </w:p>
          <w:p w14:paraId="085027F9" w14:textId="77777777" w:rsidR="00CF470F" w:rsidRDefault="006907CC" w:rsidP="006907CC">
            <w:pPr>
              <w:pStyle w:val="MPLParapgrah"/>
            </w:pPr>
            <w:r>
              <w:lastRenderedPageBreak/>
              <w:t xml:space="preserve">Ensure that alcohol is managed and used appropriately within their division. </w:t>
            </w:r>
          </w:p>
        </w:tc>
        <w:tc>
          <w:tcPr>
            <w:tcW w:w="2880" w:type="dxa"/>
          </w:tcPr>
          <w:p w14:paraId="061A37DA" w14:textId="77777777" w:rsidR="00CF470F" w:rsidRDefault="00CF470F" w:rsidP="006907CC">
            <w:pPr>
              <w:pStyle w:val="MPLParapgrah"/>
            </w:pPr>
          </w:p>
          <w:p w14:paraId="36DD691B" w14:textId="77777777" w:rsidR="00CF470F" w:rsidRDefault="006907CC" w:rsidP="006907CC">
            <w:pPr>
              <w:pStyle w:val="MPLParapgrah"/>
            </w:pPr>
            <w:r>
              <w:lastRenderedPageBreak/>
              <w:t xml:space="preserve">Heads of division or person authorised by the head of division </w:t>
            </w:r>
          </w:p>
        </w:tc>
        <w:tc>
          <w:tcPr>
            <w:tcW w:w="2880" w:type="dxa"/>
          </w:tcPr>
          <w:p w14:paraId="67161283" w14:textId="77777777" w:rsidR="00CF470F" w:rsidRDefault="00CF470F" w:rsidP="006907CC">
            <w:pPr>
              <w:pStyle w:val="MPLParapgrah"/>
            </w:pPr>
          </w:p>
          <w:p w14:paraId="54D12665" w14:textId="77777777" w:rsidR="00CF470F" w:rsidRDefault="006907CC" w:rsidP="006907CC">
            <w:pPr>
              <w:pStyle w:val="MPLParapgrah"/>
            </w:pPr>
            <w:r>
              <w:lastRenderedPageBreak/>
              <w:t xml:space="preserve">Delegation of responsibility of heads of division must be in writing </w:t>
            </w:r>
          </w:p>
        </w:tc>
      </w:tr>
      <w:tr w:rsidR="00CF470F" w14:paraId="5FAB0C6F" w14:textId="77777777">
        <w:tc>
          <w:tcPr>
            <w:tcW w:w="2880" w:type="dxa"/>
          </w:tcPr>
          <w:p w14:paraId="7B0C0621" w14:textId="77777777" w:rsidR="00CF470F" w:rsidRDefault="006907CC" w:rsidP="006907CC">
            <w:pPr>
              <w:pStyle w:val="MPLParapgrah"/>
            </w:pPr>
            <w:r>
              <w:lastRenderedPageBreak/>
              <w:t xml:space="preserve">Ensure that alcohol is managed and used appropriately at University Events </w:t>
            </w:r>
          </w:p>
        </w:tc>
        <w:tc>
          <w:tcPr>
            <w:tcW w:w="2880" w:type="dxa"/>
          </w:tcPr>
          <w:p w14:paraId="1754200B" w14:textId="77777777" w:rsidR="00CF470F" w:rsidRDefault="006907CC" w:rsidP="006907CC">
            <w:pPr>
              <w:pStyle w:val="MPLParapgrah"/>
            </w:pPr>
            <w:r>
              <w:t xml:space="preserve">Event Manager </w:t>
            </w:r>
          </w:p>
        </w:tc>
        <w:tc>
          <w:tcPr>
            <w:tcW w:w="2880" w:type="dxa"/>
          </w:tcPr>
          <w:p w14:paraId="115E09CF" w14:textId="77777777" w:rsidR="00CF470F" w:rsidRDefault="00CF470F" w:rsidP="006907CC">
            <w:pPr>
              <w:pStyle w:val="MPLParapgrah"/>
            </w:pPr>
          </w:p>
        </w:tc>
      </w:tr>
    </w:tbl>
    <w:p w14:paraId="4008EE0B" w14:textId="77777777" w:rsidR="00CF470F" w:rsidRDefault="00CF470F"/>
    <w:p w14:paraId="31A0EF2B" w14:textId="64F05707" w:rsidR="00CF470F" w:rsidRDefault="006907CC" w:rsidP="006907CC">
      <w:pPr>
        <w:pStyle w:val="MPLHeading1"/>
      </w:pPr>
      <w:r>
        <w:t xml:space="preserve">Definitions </w:t>
      </w:r>
    </w:p>
    <w:p w14:paraId="06040FEE" w14:textId="77777777" w:rsidR="00CF470F" w:rsidRDefault="006907CC" w:rsidP="006907CC">
      <w:pPr>
        <w:pStyle w:val="MPLParapgrah"/>
      </w:pPr>
      <w:r>
        <w:rPr>
          <w:b/>
        </w:rPr>
        <w:t xml:space="preserve">Event manager </w:t>
      </w:r>
      <w:r>
        <w:t xml:space="preserve">means the person(s) responsible for the practical planning, management and supervision of a University event. The event manager is responsible for obtaining all necessary authorisations, </w:t>
      </w:r>
      <w:proofErr w:type="gramStart"/>
      <w:r>
        <w:t>approvals</w:t>
      </w:r>
      <w:proofErr w:type="gramEnd"/>
      <w:r>
        <w:t xml:space="preserve"> and licences for the event and for the safe conduct of the event by eliminating or minimising risks in accordance with risk management and mitigation strategies. </w:t>
      </w:r>
    </w:p>
    <w:p w14:paraId="64E3BFA0" w14:textId="77777777" w:rsidR="00CF470F" w:rsidRDefault="006907CC" w:rsidP="006907CC">
      <w:pPr>
        <w:pStyle w:val="MPLParapgrah"/>
      </w:pPr>
      <w:r>
        <w:rPr>
          <w:b/>
        </w:rPr>
        <w:t xml:space="preserve">Regulated Plant </w:t>
      </w:r>
      <w:r>
        <w:t xml:space="preserve">means plant for which Part 3.5 Plant, of the Occupational Health and Safety Regulations applies. This includes, but is not limited to, plant that processes material by way of a mechanical action, pressure equipment, tractors, earthmoving machinery, lasers, scaffolds, temporary access equipment, explosive-powered tools, </w:t>
      </w:r>
      <w:proofErr w:type="gramStart"/>
      <w:r>
        <w:t>turbines</w:t>
      </w:r>
      <w:proofErr w:type="gramEnd"/>
      <w:r>
        <w:t xml:space="preserve"> and amusement structures. </w:t>
      </w:r>
    </w:p>
    <w:p w14:paraId="103B56BD" w14:textId="77777777" w:rsidR="00CF470F" w:rsidRDefault="006907CC" w:rsidP="006907CC">
      <w:pPr>
        <w:pStyle w:val="MPLParapgrah"/>
      </w:pPr>
      <w:r>
        <w:rPr>
          <w:b/>
        </w:rPr>
        <w:t xml:space="preserve">Student Association </w:t>
      </w:r>
      <w:r>
        <w:t xml:space="preserve">means a student association recognised by University Council in accordance with Council Regulation 19. </w:t>
      </w:r>
      <w:proofErr w:type="gramStart"/>
      <w:r>
        <w:t>ie</w:t>
      </w:r>
      <w:proofErr w:type="gramEnd"/>
      <w:r>
        <w:t xml:space="preserve"> UMSU Incorporated, The University of Melbourne Graduate Student Association and The Melbourne University Sports Association. </w:t>
      </w:r>
    </w:p>
    <w:p w14:paraId="4F7B3C91" w14:textId="77777777" w:rsidR="00CF470F" w:rsidRDefault="006907CC" w:rsidP="006907CC">
      <w:pPr>
        <w:pStyle w:val="MPLParapgrah"/>
      </w:pPr>
      <w:r>
        <w:rPr>
          <w:b/>
        </w:rPr>
        <w:t xml:space="preserve">University Affiliated Club </w:t>
      </w:r>
      <w:r>
        <w:t xml:space="preserve">means a club or association affiliated through a student association. </w:t>
      </w:r>
    </w:p>
    <w:p w14:paraId="45CF7173" w14:textId="77777777" w:rsidR="00CF470F" w:rsidRDefault="006907CC" w:rsidP="006907CC">
      <w:pPr>
        <w:pStyle w:val="MPLParapgrah"/>
      </w:pPr>
      <w:r>
        <w:rPr>
          <w:b/>
        </w:rPr>
        <w:t xml:space="preserve">University event </w:t>
      </w:r>
      <w:r>
        <w:t xml:space="preserve">means any event that is organised or controlled by the University, including University-controlled entities, University business operations and University clubs affiliated through a student association. </w:t>
      </w:r>
    </w:p>
    <w:p w14:paraId="42401C66" w14:textId="77777777" w:rsidR="00CF470F" w:rsidRDefault="006907CC" w:rsidP="006907CC">
      <w:pPr>
        <w:pStyle w:val="MPLNoNumberingHeadings"/>
      </w:pPr>
      <w:r>
        <w:t xml:space="preserve">POLICY APPROVER </w:t>
      </w:r>
    </w:p>
    <w:p w14:paraId="16315030" w14:textId="77777777" w:rsidR="006907CC" w:rsidRDefault="006907CC" w:rsidP="004B336D">
      <w:pPr>
        <w:pStyle w:val="MPLParapgrah"/>
        <w:rPr>
          <w:b/>
          <w:bCs/>
        </w:rPr>
      </w:pPr>
      <w:r w:rsidRPr="006907CC">
        <w:t xml:space="preserve">Vice-President Administration &amp; Finance and Chief Operating Officer </w:t>
      </w:r>
    </w:p>
    <w:p w14:paraId="5CCC0C01" w14:textId="4B83B130" w:rsidR="00CF470F" w:rsidRDefault="006907CC" w:rsidP="006907CC">
      <w:pPr>
        <w:pStyle w:val="MPLNoNumberingHeadings"/>
      </w:pPr>
      <w:r>
        <w:t xml:space="preserve">POLICY STEWARD </w:t>
      </w:r>
    </w:p>
    <w:p w14:paraId="1AF557DC" w14:textId="77777777" w:rsidR="00CF470F" w:rsidRDefault="006907CC" w:rsidP="006907CC">
      <w:pPr>
        <w:pStyle w:val="MPLParapgrah"/>
      </w:pPr>
      <w:r>
        <w:t xml:space="preserve">Director, </w:t>
      </w:r>
      <w:proofErr w:type="gramStart"/>
      <w:r>
        <w:t>Health</w:t>
      </w:r>
      <w:proofErr w:type="gramEnd"/>
      <w:r>
        <w:t xml:space="preserve"> and Safety </w:t>
      </w:r>
    </w:p>
    <w:p w14:paraId="51385010" w14:textId="77777777" w:rsidR="00CF470F" w:rsidRDefault="006907CC" w:rsidP="006907CC">
      <w:pPr>
        <w:pStyle w:val="MPLNoNumberingHeadings"/>
      </w:pPr>
      <w:r>
        <w:t xml:space="preserve">REVIEW </w:t>
      </w:r>
    </w:p>
    <w:p w14:paraId="7864580A" w14:textId="77777777" w:rsidR="00CF470F" w:rsidRDefault="006907CC" w:rsidP="006907CC">
      <w:pPr>
        <w:pStyle w:val="MPLParapgrah"/>
      </w:pPr>
      <w:r>
        <w:t xml:space="preserve">This policy is to be reviewed by 10 May 2024. </w:t>
      </w:r>
    </w:p>
    <w:p w14:paraId="3C927CDB" w14:textId="77777777" w:rsidR="00CF470F" w:rsidRDefault="006907CC" w:rsidP="006907CC">
      <w:pPr>
        <w:pStyle w:val="MPLNoNumberingHeadings"/>
      </w:pPr>
      <w:r>
        <w:t xml:space="preserve">VERSION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F470F" w:rsidRPr="006907CC" w14:paraId="1730B612" w14:textId="77777777">
        <w:tc>
          <w:tcPr>
            <w:tcW w:w="1728" w:type="dxa"/>
          </w:tcPr>
          <w:p w14:paraId="5ACCB5E6" w14:textId="77777777" w:rsidR="00CF470F" w:rsidRPr="006907CC" w:rsidRDefault="006907CC" w:rsidP="006907CC">
            <w:pPr>
              <w:pStyle w:val="MPLParapgrah"/>
            </w:pPr>
            <w:r w:rsidRPr="006907CC">
              <w:t xml:space="preserve">Version </w:t>
            </w:r>
          </w:p>
        </w:tc>
        <w:tc>
          <w:tcPr>
            <w:tcW w:w="1728" w:type="dxa"/>
          </w:tcPr>
          <w:p w14:paraId="7A6B184F" w14:textId="77777777" w:rsidR="00CF470F" w:rsidRPr="006907CC" w:rsidRDefault="006907CC" w:rsidP="006907CC">
            <w:pPr>
              <w:pStyle w:val="MPLParapgrah"/>
            </w:pPr>
            <w:r w:rsidRPr="006907CC">
              <w:t xml:space="preserve">Approved By </w:t>
            </w:r>
          </w:p>
        </w:tc>
        <w:tc>
          <w:tcPr>
            <w:tcW w:w="1728" w:type="dxa"/>
          </w:tcPr>
          <w:p w14:paraId="79909425" w14:textId="77777777" w:rsidR="00CF470F" w:rsidRPr="006907CC" w:rsidRDefault="006907CC" w:rsidP="006907CC">
            <w:pPr>
              <w:pStyle w:val="MPLParapgrah"/>
            </w:pPr>
            <w:r w:rsidRPr="006907CC">
              <w:t xml:space="preserve">Approval Date </w:t>
            </w:r>
          </w:p>
        </w:tc>
        <w:tc>
          <w:tcPr>
            <w:tcW w:w="1728" w:type="dxa"/>
          </w:tcPr>
          <w:p w14:paraId="3A903C9D" w14:textId="77777777" w:rsidR="00CF470F" w:rsidRPr="006907CC" w:rsidRDefault="006907CC" w:rsidP="006907CC">
            <w:pPr>
              <w:pStyle w:val="MPLParapgrah"/>
            </w:pPr>
            <w:r w:rsidRPr="006907CC">
              <w:t xml:space="preserve">Effective Date </w:t>
            </w:r>
          </w:p>
        </w:tc>
        <w:tc>
          <w:tcPr>
            <w:tcW w:w="1728" w:type="dxa"/>
          </w:tcPr>
          <w:p w14:paraId="4A721F89" w14:textId="77777777" w:rsidR="00CF470F" w:rsidRPr="006907CC" w:rsidRDefault="006907CC" w:rsidP="006907CC">
            <w:pPr>
              <w:pStyle w:val="MPLParapgrah"/>
            </w:pPr>
            <w:r w:rsidRPr="006907CC">
              <w:t xml:space="preserve">Sections Modified </w:t>
            </w:r>
          </w:p>
        </w:tc>
      </w:tr>
      <w:tr w:rsidR="00CF470F" w:rsidRPr="006907CC" w14:paraId="5040BF78" w14:textId="77777777">
        <w:tc>
          <w:tcPr>
            <w:tcW w:w="1728" w:type="dxa"/>
          </w:tcPr>
          <w:p w14:paraId="42C58836" w14:textId="77777777" w:rsidR="00CF470F" w:rsidRPr="006907CC" w:rsidRDefault="006907CC" w:rsidP="006907CC">
            <w:pPr>
              <w:pStyle w:val="MPLParapgrah"/>
            </w:pPr>
            <w:r w:rsidRPr="006907CC">
              <w:t xml:space="preserve">1 </w:t>
            </w:r>
          </w:p>
        </w:tc>
        <w:tc>
          <w:tcPr>
            <w:tcW w:w="1728" w:type="dxa"/>
          </w:tcPr>
          <w:p w14:paraId="2F0757E2" w14:textId="77777777" w:rsidR="00CF470F" w:rsidRPr="006907CC" w:rsidRDefault="006907CC" w:rsidP="006907CC">
            <w:pPr>
              <w:pStyle w:val="MPLParapgrah"/>
            </w:pPr>
            <w:r w:rsidRPr="006907CC">
              <w:t xml:space="preserve">Vice-Principal Administration and Finance </w:t>
            </w:r>
            <w:r w:rsidRPr="006907CC">
              <w:br/>
              <w:t xml:space="preserve">on behalf of Senior Vice-Principal </w:t>
            </w:r>
          </w:p>
        </w:tc>
        <w:tc>
          <w:tcPr>
            <w:tcW w:w="1728" w:type="dxa"/>
          </w:tcPr>
          <w:p w14:paraId="47C351E4" w14:textId="77777777" w:rsidR="00CF470F" w:rsidRPr="006907CC" w:rsidRDefault="006907CC" w:rsidP="006907CC">
            <w:pPr>
              <w:pStyle w:val="MPLParapgrah"/>
            </w:pPr>
            <w:r w:rsidRPr="006907CC">
              <w:t xml:space="preserve">25 March 2014 </w:t>
            </w:r>
          </w:p>
        </w:tc>
        <w:tc>
          <w:tcPr>
            <w:tcW w:w="1728" w:type="dxa"/>
          </w:tcPr>
          <w:p w14:paraId="2B297B09" w14:textId="77777777" w:rsidR="00CF470F" w:rsidRPr="006907CC" w:rsidRDefault="006907CC" w:rsidP="006907CC">
            <w:pPr>
              <w:pStyle w:val="MPLParapgrah"/>
            </w:pPr>
            <w:r w:rsidRPr="006907CC">
              <w:t xml:space="preserve">25 March 2014 </w:t>
            </w:r>
          </w:p>
        </w:tc>
        <w:tc>
          <w:tcPr>
            <w:tcW w:w="1728" w:type="dxa"/>
          </w:tcPr>
          <w:p w14:paraId="7161CEA0" w14:textId="77777777" w:rsidR="00CF470F" w:rsidRPr="006907CC" w:rsidRDefault="006907CC" w:rsidP="006907CC">
            <w:pPr>
              <w:pStyle w:val="MPLParapgrah"/>
            </w:pPr>
            <w:r w:rsidRPr="006907CC">
              <w:t xml:space="preserve">N/A </w:t>
            </w:r>
          </w:p>
        </w:tc>
      </w:tr>
      <w:tr w:rsidR="00CF470F" w:rsidRPr="006907CC" w14:paraId="3A9F4383" w14:textId="77777777">
        <w:tc>
          <w:tcPr>
            <w:tcW w:w="1728" w:type="dxa"/>
          </w:tcPr>
          <w:p w14:paraId="5EFE356F" w14:textId="77777777" w:rsidR="00CF470F" w:rsidRPr="006907CC" w:rsidRDefault="006907CC" w:rsidP="006907CC">
            <w:pPr>
              <w:pStyle w:val="MPLParapgrah"/>
            </w:pPr>
            <w:r w:rsidRPr="006907CC">
              <w:t xml:space="preserve">2 </w:t>
            </w:r>
          </w:p>
        </w:tc>
        <w:tc>
          <w:tcPr>
            <w:tcW w:w="1728" w:type="dxa"/>
          </w:tcPr>
          <w:p w14:paraId="5954D12B" w14:textId="77777777" w:rsidR="00CF470F" w:rsidRPr="006907CC" w:rsidRDefault="006907CC" w:rsidP="006907CC">
            <w:pPr>
              <w:pStyle w:val="MPLParapgrah"/>
            </w:pPr>
            <w:r w:rsidRPr="006907CC">
              <w:t xml:space="preserve">Vice-Principal Administration and Finance &amp; CFO </w:t>
            </w:r>
          </w:p>
        </w:tc>
        <w:tc>
          <w:tcPr>
            <w:tcW w:w="1728" w:type="dxa"/>
          </w:tcPr>
          <w:p w14:paraId="25E94367" w14:textId="77777777" w:rsidR="00CF470F" w:rsidRPr="006907CC" w:rsidRDefault="006907CC" w:rsidP="006907CC">
            <w:pPr>
              <w:pStyle w:val="MPLParapgrah"/>
            </w:pPr>
            <w:r w:rsidRPr="006907CC">
              <w:t xml:space="preserve">7 September 2016 </w:t>
            </w:r>
          </w:p>
        </w:tc>
        <w:tc>
          <w:tcPr>
            <w:tcW w:w="1728" w:type="dxa"/>
          </w:tcPr>
          <w:p w14:paraId="00CB85A9" w14:textId="77777777" w:rsidR="00CF470F" w:rsidRPr="006907CC" w:rsidRDefault="006907CC" w:rsidP="006907CC">
            <w:pPr>
              <w:pStyle w:val="MPLParapgrah"/>
            </w:pPr>
            <w:r w:rsidRPr="006907CC">
              <w:t xml:space="preserve">7 September 2016 </w:t>
            </w:r>
          </w:p>
        </w:tc>
        <w:tc>
          <w:tcPr>
            <w:tcW w:w="1728" w:type="dxa"/>
          </w:tcPr>
          <w:p w14:paraId="1AD36390" w14:textId="77777777" w:rsidR="00CF470F" w:rsidRPr="006907CC" w:rsidRDefault="006907CC" w:rsidP="006907CC">
            <w:pPr>
              <w:pStyle w:val="MPLParapgrah"/>
            </w:pPr>
            <w:r w:rsidRPr="006907CC">
              <w:t xml:space="preserve">New version arising from the Policy Consolidation Project incorporating the </w:t>
            </w:r>
            <w:r w:rsidRPr="006907CC">
              <w:lastRenderedPageBreak/>
              <w:t xml:space="preserve">former Responsible Management and Use of Alcohol Policy (MPF1267) and the Management of Alcohol at Events Procedure (MPF1268). </w:t>
            </w:r>
          </w:p>
        </w:tc>
      </w:tr>
      <w:tr w:rsidR="00CF470F" w:rsidRPr="006907CC" w14:paraId="16131D87" w14:textId="77777777">
        <w:tc>
          <w:tcPr>
            <w:tcW w:w="1728" w:type="dxa"/>
          </w:tcPr>
          <w:p w14:paraId="0AEDC06A" w14:textId="77777777" w:rsidR="00CF470F" w:rsidRPr="006907CC" w:rsidRDefault="006907CC" w:rsidP="006907CC">
            <w:pPr>
              <w:pStyle w:val="MPLParapgrah"/>
            </w:pPr>
            <w:r w:rsidRPr="006907CC">
              <w:lastRenderedPageBreak/>
              <w:t xml:space="preserve">3 </w:t>
            </w:r>
          </w:p>
        </w:tc>
        <w:tc>
          <w:tcPr>
            <w:tcW w:w="1728" w:type="dxa"/>
          </w:tcPr>
          <w:p w14:paraId="5DFB46C6" w14:textId="77777777" w:rsidR="00CF470F" w:rsidRPr="006907CC" w:rsidRDefault="006907CC" w:rsidP="006907CC">
            <w:pPr>
              <w:pStyle w:val="MPLParapgrah"/>
            </w:pPr>
            <w:r w:rsidRPr="006907CC">
              <w:t xml:space="preserve">Associate Director, </w:t>
            </w:r>
            <w:proofErr w:type="gramStart"/>
            <w:r w:rsidRPr="006907CC">
              <w:t>Health</w:t>
            </w:r>
            <w:proofErr w:type="gramEnd"/>
            <w:r w:rsidRPr="006907CC">
              <w:t xml:space="preserve"> and Safety </w:t>
            </w:r>
          </w:p>
        </w:tc>
        <w:tc>
          <w:tcPr>
            <w:tcW w:w="1728" w:type="dxa"/>
          </w:tcPr>
          <w:p w14:paraId="0BD6F07A" w14:textId="77777777" w:rsidR="00CF470F" w:rsidRPr="006907CC" w:rsidRDefault="006907CC" w:rsidP="006907CC">
            <w:pPr>
              <w:pStyle w:val="MPLParapgrah"/>
            </w:pPr>
            <w:r w:rsidRPr="006907CC">
              <w:t xml:space="preserve">2 December 2016 </w:t>
            </w:r>
          </w:p>
        </w:tc>
        <w:tc>
          <w:tcPr>
            <w:tcW w:w="1728" w:type="dxa"/>
          </w:tcPr>
          <w:p w14:paraId="4FD423EE" w14:textId="77777777" w:rsidR="00CF470F" w:rsidRPr="006907CC" w:rsidRDefault="006907CC" w:rsidP="006907CC">
            <w:pPr>
              <w:pStyle w:val="MPLParapgrah"/>
            </w:pPr>
            <w:r w:rsidRPr="006907CC">
              <w:t xml:space="preserve">2 December 2016 </w:t>
            </w:r>
          </w:p>
        </w:tc>
        <w:tc>
          <w:tcPr>
            <w:tcW w:w="1728" w:type="dxa"/>
          </w:tcPr>
          <w:p w14:paraId="1873305D" w14:textId="77777777" w:rsidR="00CF470F" w:rsidRPr="006907CC" w:rsidRDefault="006907CC" w:rsidP="006907CC">
            <w:pPr>
              <w:pStyle w:val="MPLParapgrah"/>
            </w:pPr>
            <w:r w:rsidRPr="006907CC">
              <w:t xml:space="preserve">Editorial change, adding link to newly published Appropriate Workplace Behaviour Policy (MPF1328). </w:t>
            </w:r>
          </w:p>
        </w:tc>
      </w:tr>
      <w:tr w:rsidR="00CF470F" w:rsidRPr="006907CC" w14:paraId="0C22191F" w14:textId="77777777">
        <w:tc>
          <w:tcPr>
            <w:tcW w:w="1728" w:type="dxa"/>
          </w:tcPr>
          <w:p w14:paraId="7660914B" w14:textId="77777777" w:rsidR="00CF470F" w:rsidRPr="006907CC" w:rsidRDefault="006907CC" w:rsidP="006907CC">
            <w:pPr>
              <w:pStyle w:val="MPLParapgrah"/>
            </w:pPr>
            <w:r w:rsidRPr="006907CC">
              <w:t xml:space="preserve">4 </w:t>
            </w:r>
          </w:p>
        </w:tc>
        <w:tc>
          <w:tcPr>
            <w:tcW w:w="1728" w:type="dxa"/>
          </w:tcPr>
          <w:p w14:paraId="71B2CE7F" w14:textId="77777777" w:rsidR="00CF470F" w:rsidRPr="006907CC" w:rsidRDefault="006907CC" w:rsidP="006907CC">
            <w:pPr>
              <w:pStyle w:val="MPLParapgrah"/>
            </w:pPr>
            <w:r w:rsidRPr="006907CC">
              <w:t xml:space="preserve">Vice-Chancellor </w:t>
            </w:r>
          </w:p>
        </w:tc>
        <w:tc>
          <w:tcPr>
            <w:tcW w:w="1728" w:type="dxa"/>
          </w:tcPr>
          <w:p w14:paraId="73A8DFD6" w14:textId="77777777" w:rsidR="00CF470F" w:rsidRPr="006907CC" w:rsidRDefault="006907CC" w:rsidP="006907CC">
            <w:pPr>
              <w:pStyle w:val="MPLParapgrah"/>
            </w:pPr>
            <w:r w:rsidRPr="006907CC">
              <w:t xml:space="preserve">7 March 2019 </w:t>
            </w:r>
          </w:p>
        </w:tc>
        <w:tc>
          <w:tcPr>
            <w:tcW w:w="1728" w:type="dxa"/>
          </w:tcPr>
          <w:p w14:paraId="309FFEC4" w14:textId="77777777" w:rsidR="00CF470F" w:rsidRPr="006907CC" w:rsidRDefault="006907CC" w:rsidP="006907CC">
            <w:pPr>
              <w:pStyle w:val="MPLParapgrah"/>
            </w:pPr>
            <w:r w:rsidRPr="006907CC">
              <w:t xml:space="preserve">19 August 2019 </w:t>
            </w:r>
          </w:p>
        </w:tc>
        <w:tc>
          <w:tcPr>
            <w:tcW w:w="1728" w:type="dxa"/>
          </w:tcPr>
          <w:p w14:paraId="04FD7FF2" w14:textId="77777777" w:rsidR="00CF470F" w:rsidRPr="006907CC" w:rsidRDefault="006907CC" w:rsidP="006907CC">
            <w:pPr>
              <w:pStyle w:val="MPLParapgrah"/>
            </w:pPr>
            <w:r w:rsidRPr="006907CC">
              <w:t xml:space="preserve">Changed Policy Approver to Vice-President (Strategy &amp; Culture) (previously Vice-Principal, Administration and Finance &amp; CFO) </w:t>
            </w:r>
          </w:p>
        </w:tc>
      </w:tr>
      <w:tr w:rsidR="00CF470F" w:rsidRPr="006907CC" w14:paraId="4A31D920" w14:textId="77777777">
        <w:tc>
          <w:tcPr>
            <w:tcW w:w="1728" w:type="dxa"/>
          </w:tcPr>
          <w:p w14:paraId="132A6234" w14:textId="77777777" w:rsidR="00CF470F" w:rsidRPr="006907CC" w:rsidRDefault="006907CC" w:rsidP="006907CC">
            <w:pPr>
              <w:pStyle w:val="MPLParapgrah"/>
            </w:pPr>
            <w:r w:rsidRPr="006907CC">
              <w:t xml:space="preserve">5 </w:t>
            </w:r>
          </w:p>
        </w:tc>
        <w:tc>
          <w:tcPr>
            <w:tcW w:w="1728" w:type="dxa"/>
          </w:tcPr>
          <w:p w14:paraId="5C06113F" w14:textId="77777777" w:rsidR="00CF470F" w:rsidRPr="006907CC" w:rsidRDefault="006907CC" w:rsidP="006907CC">
            <w:pPr>
              <w:pStyle w:val="MPLParapgrah"/>
            </w:pPr>
            <w:r w:rsidRPr="006907CC">
              <w:t xml:space="preserve">Director, </w:t>
            </w:r>
            <w:proofErr w:type="gramStart"/>
            <w:r w:rsidRPr="006907CC">
              <w:t>Health</w:t>
            </w:r>
            <w:proofErr w:type="gramEnd"/>
            <w:r w:rsidRPr="006907CC">
              <w:t xml:space="preserve"> and Safety </w:t>
            </w:r>
          </w:p>
        </w:tc>
        <w:tc>
          <w:tcPr>
            <w:tcW w:w="1728" w:type="dxa"/>
          </w:tcPr>
          <w:p w14:paraId="6FD08C1B" w14:textId="77777777" w:rsidR="00CF470F" w:rsidRPr="006907CC" w:rsidRDefault="006907CC" w:rsidP="006907CC">
            <w:pPr>
              <w:pStyle w:val="MPLParapgrah"/>
            </w:pPr>
            <w:r w:rsidRPr="006907CC">
              <w:t xml:space="preserve">14 April 2021 </w:t>
            </w:r>
          </w:p>
        </w:tc>
        <w:tc>
          <w:tcPr>
            <w:tcW w:w="1728" w:type="dxa"/>
          </w:tcPr>
          <w:p w14:paraId="2E9BC911" w14:textId="77777777" w:rsidR="00CF470F" w:rsidRPr="006907CC" w:rsidRDefault="006907CC" w:rsidP="006907CC">
            <w:pPr>
              <w:pStyle w:val="MPLParapgrah"/>
            </w:pPr>
            <w:r w:rsidRPr="006907CC">
              <w:t xml:space="preserve">10 May 2021 </w:t>
            </w:r>
          </w:p>
        </w:tc>
        <w:tc>
          <w:tcPr>
            <w:tcW w:w="1728" w:type="dxa"/>
          </w:tcPr>
          <w:p w14:paraId="297D6253" w14:textId="77777777" w:rsidR="00CF470F" w:rsidRPr="006907CC" w:rsidRDefault="006907CC" w:rsidP="006907CC">
            <w:pPr>
              <w:pStyle w:val="MPLParapgrah"/>
            </w:pPr>
            <w:r w:rsidRPr="006907CC">
              <w:t xml:space="preserve">Changed Policy Steward title to reflect role change. Clarification of responsibilities of students, contractors, </w:t>
            </w:r>
            <w:proofErr w:type="gramStart"/>
            <w:r w:rsidRPr="006907CC">
              <w:t>visitors</w:t>
            </w:r>
            <w:proofErr w:type="gramEnd"/>
            <w:r w:rsidRPr="006907CC">
              <w:t xml:space="preserve"> and others. Review date updated consequent to 2021 major review check being completed. </w:t>
            </w:r>
          </w:p>
        </w:tc>
      </w:tr>
      <w:tr w:rsidR="006907CC" w14:paraId="060DC7B4" w14:textId="77777777" w:rsidTr="006907CC">
        <w:tc>
          <w:tcPr>
            <w:tcW w:w="1728" w:type="dxa"/>
            <w:hideMark/>
          </w:tcPr>
          <w:p w14:paraId="0B4BBCF9" w14:textId="400A2645" w:rsidR="006907CC" w:rsidRDefault="006907CC" w:rsidP="00AC6F7C">
            <w:pPr>
              <w:spacing w:after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6</w:t>
            </w:r>
          </w:p>
        </w:tc>
        <w:tc>
          <w:tcPr>
            <w:tcW w:w="1728" w:type="dxa"/>
            <w:hideMark/>
          </w:tcPr>
          <w:p w14:paraId="739D5FD1" w14:textId="77777777" w:rsidR="006907CC" w:rsidRDefault="006907CC" w:rsidP="00AC6F7C">
            <w:pPr>
              <w:spacing w:after="120"/>
              <w:rPr>
                <w:rFonts w:ascii="Source Sans Pro" w:eastAsiaTheme="minorHAnsi" w:hAnsi="Source Sans Pro" w:cs="Calibri"/>
              </w:rPr>
            </w:pPr>
            <w:r>
              <w:rPr>
                <w:rFonts w:ascii="Source Sans Pro" w:hAnsi="Source Sans Pro"/>
                <w:color w:val="212529"/>
                <w:shd w:val="clear" w:color="auto" w:fill="FFFFFF"/>
              </w:rPr>
              <w:t>Vice-President Administration &amp; Finance and Chief Operating Officer</w:t>
            </w:r>
          </w:p>
        </w:tc>
        <w:tc>
          <w:tcPr>
            <w:tcW w:w="1728" w:type="dxa"/>
            <w:hideMark/>
          </w:tcPr>
          <w:p w14:paraId="7771BA13" w14:textId="77777777" w:rsidR="006907CC" w:rsidRDefault="006907CC" w:rsidP="00AC6F7C">
            <w:pPr>
              <w:spacing w:after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10 August 2023</w:t>
            </w:r>
          </w:p>
        </w:tc>
        <w:tc>
          <w:tcPr>
            <w:tcW w:w="1728" w:type="dxa"/>
            <w:hideMark/>
          </w:tcPr>
          <w:p w14:paraId="60FC737F" w14:textId="4EEB5421" w:rsidR="006907CC" w:rsidRDefault="006907CC" w:rsidP="00AC6F7C">
            <w:pPr>
              <w:spacing w:after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</w:t>
            </w:r>
            <w:r w:rsidR="000E4BDE">
              <w:rPr>
                <w:rFonts w:ascii="Source Sans Pro" w:hAnsi="Source Sans Pro"/>
              </w:rPr>
              <w:t>4 December</w:t>
            </w:r>
            <w:r>
              <w:rPr>
                <w:rFonts w:ascii="Source Sans Pro" w:hAnsi="Source Sans Pro"/>
              </w:rPr>
              <w:t xml:space="preserve"> 2023</w:t>
            </w:r>
          </w:p>
        </w:tc>
        <w:tc>
          <w:tcPr>
            <w:tcW w:w="1728" w:type="dxa"/>
            <w:hideMark/>
          </w:tcPr>
          <w:p w14:paraId="4FE7AE12" w14:textId="77777777" w:rsidR="006907CC" w:rsidRDefault="006907CC" w:rsidP="00AC6F7C">
            <w:pPr>
              <w:spacing w:after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Policy Approver updated to reflect retirement of Vice-President (Strategy &amp; Culture) role. </w:t>
            </w:r>
          </w:p>
        </w:tc>
      </w:tr>
    </w:tbl>
    <w:p w14:paraId="1E836108" w14:textId="77777777" w:rsidR="006907CC" w:rsidRPr="003D00E3" w:rsidRDefault="006907CC" w:rsidP="006907CC">
      <w:pPr>
        <w:pStyle w:val="MPFSubheading"/>
      </w:pPr>
      <w:r>
        <w:softHyphen/>
      </w:r>
    </w:p>
    <w:p w14:paraId="269B5DDD" w14:textId="4210EDE6" w:rsidR="006907CC" w:rsidRPr="003D00E3" w:rsidRDefault="006907CC" w:rsidP="006907CC">
      <w:pPr>
        <w:pStyle w:val="MPFSubheading"/>
      </w:pPr>
    </w:p>
    <w:p w14:paraId="75638BB2" w14:textId="77777777" w:rsidR="00CF470F" w:rsidRDefault="00CF470F"/>
    <w:sectPr w:rsidR="00CF470F" w:rsidSect="00034616">
      <w:footerReference w:type="default" r:id="rId13"/>
      <w:pgSz w:w="12240" w:h="15840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7BEB" w14:textId="77777777" w:rsidR="00F52214" w:rsidRDefault="00F52214">
      <w:pPr>
        <w:spacing w:after="0" w:line="240" w:lineRule="auto"/>
      </w:pPr>
      <w:r>
        <w:separator/>
      </w:r>
    </w:p>
  </w:endnote>
  <w:endnote w:type="continuationSeparator" w:id="0">
    <w:p w14:paraId="3EDB6C14" w14:textId="77777777" w:rsidR="00F52214" w:rsidRDefault="00F5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5D7" w14:textId="77777777" w:rsidR="00CF470F" w:rsidRDefault="006907CC"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4420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442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D467" w14:textId="77777777" w:rsidR="00F52214" w:rsidRDefault="00F52214">
      <w:pPr>
        <w:spacing w:after="0" w:line="240" w:lineRule="auto"/>
      </w:pPr>
      <w:r>
        <w:separator/>
      </w:r>
    </w:p>
  </w:footnote>
  <w:footnote w:type="continuationSeparator" w:id="0">
    <w:p w14:paraId="388B218C" w14:textId="77777777" w:rsidR="00F52214" w:rsidRDefault="00F5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4D407A"/>
    <w:multiLevelType w:val="multilevel"/>
    <w:tmpl w:val="153CF00A"/>
    <w:lvl w:ilvl="0">
      <w:start w:val="1"/>
      <w:numFmt w:val="decimal"/>
      <w:pStyle w:val="MPL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PLParagraphlevel1"/>
      <w:suff w:val="space"/>
      <w:lvlText w:val="%1.%2."/>
      <w:lvlJc w:val="left"/>
      <w:pPr>
        <w:ind w:left="357" w:firstLine="3"/>
      </w:pPr>
    </w:lvl>
    <w:lvl w:ilvl="2">
      <w:start w:val="1"/>
      <w:numFmt w:val="lowerLetter"/>
      <w:pStyle w:val="MPLParagraphlevel2"/>
      <w:suff w:val="space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lowerRoman"/>
      <w:pStyle w:val="MPLParagraphlevel3"/>
      <w:suff w:val="space"/>
      <w:lvlText w:val="%4."/>
      <w:lvlJc w:val="left"/>
      <w:pPr>
        <w:ind w:left="1077" w:firstLine="3"/>
      </w:pPr>
      <w:rPr>
        <w:rFonts w:hint="default"/>
      </w:rPr>
    </w:lvl>
    <w:lvl w:ilvl="4">
      <w:start w:val="1"/>
      <w:numFmt w:val="bullet"/>
      <w:pStyle w:val="MPLParagraphlevel4"/>
      <w:suff w:val="space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5991863">
    <w:abstractNumId w:val="8"/>
  </w:num>
  <w:num w:numId="2" w16cid:durableId="1467972816">
    <w:abstractNumId w:val="6"/>
  </w:num>
  <w:num w:numId="3" w16cid:durableId="729809001">
    <w:abstractNumId w:val="5"/>
  </w:num>
  <w:num w:numId="4" w16cid:durableId="814764048">
    <w:abstractNumId w:val="4"/>
  </w:num>
  <w:num w:numId="5" w16cid:durableId="1257833214">
    <w:abstractNumId w:val="7"/>
  </w:num>
  <w:num w:numId="6" w16cid:durableId="1296640157">
    <w:abstractNumId w:val="3"/>
  </w:num>
  <w:num w:numId="7" w16cid:durableId="319426507">
    <w:abstractNumId w:val="2"/>
  </w:num>
  <w:num w:numId="8" w16cid:durableId="812716900">
    <w:abstractNumId w:val="1"/>
  </w:num>
  <w:num w:numId="9" w16cid:durableId="277880383">
    <w:abstractNumId w:val="0"/>
  </w:num>
  <w:num w:numId="10" w16cid:durableId="467361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4BDE"/>
    <w:rsid w:val="0015074B"/>
    <w:rsid w:val="0029639D"/>
    <w:rsid w:val="00326F90"/>
    <w:rsid w:val="004B336D"/>
    <w:rsid w:val="006907CC"/>
    <w:rsid w:val="00AA1D8D"/>
    <w:rsid w:val="00B47730"/>
    <w:rsid w:val="00CB0664"/>
    <w:rsid w:val="00CF470F"/>
    <w:rsid w:val="00E44209"/>
    <w:rsid w:val="00F522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574C9"/>
  <w14:defaultImageDpi w14:val="300"/>
  <w15:docId w15:val="{A84432FC-AA7F-4541-BCA6-FB8D104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hAnsiTheme="majorHAnsi" w:cstheme="majorBidi" w:asciiTheme="Source Sans Pro"/>
      <w:b/>
      <w:bCs/>
      <w:color w:val="000F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hAnsiTheme="majorHAnsi" w:cstheme="majorBidi" w:asciiTheme="Source Sans Pro"/>
      <w:b/>
      <w:bCs/>
      <w:color w:val="000F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hAnsiTheme="majorHAnsi" w:cstheme="majorBidi" w:asciiTheme="Source Sans Pro"/>
      <w:b/>
      <w:bCs/>
      <w:color w:val="000F4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hAnsiTheme="majorHAnsi" w:cstheme="majorBidi" w:asciiTheme="Source Sans Pro"/>
      <w:b/>
      <w:bCs/>
      <w:i/>
      <w:iCs/>
      <w:color w:val="000F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hAnsiTheme="majorHAnsi" w:cstheme="majorBidi" w:asciiTheme="Source Sans Pro"/>
      <w:color w:val="000F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hAnsiTheme="majorHAnsi" w:cstheme="majorBidi" w:asciiTheme="Source Sans Pro"/>
      <w:i/>
      <w:iCs/>
      <w:color w:val="000F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aliases w:val="MPL - Hyperlink"/>
    <w:basedOn w:val="DefaultParagraphFont"/>
    <w:uiPriority w:val="99"/>
    <w:unhideWhenUsed/>
    <w:qFormat/>
    <w:rsid w:val="006907CC"/>
    <w:rPr>
      <w:color w:val="0000FF" w:themeColor="hyperlink"/>
      <w:u w:val="single"/>
    </w:rPr>
  </w:style>
  <w:style w:type="paragraph" w:customStyle="1" w:styleId="MPLParagraphlevel1">
    <w:name w:val="MPL Paragraph level 1"/>
    <w:basedOn w:val="ListParagraph"/>
    <w:qFormat/>
    <w:rsid w:val="006907CC"/>
    <w:pPr>
      <w:numPr>
        <w:ilvl w:val="1"/>
        <w:numId w:val="10"/>
      </w:numPr>
      <w:spacing w:afterLines="50" w:after="120"/>
      <w:contextualSpacing w:val="0"/>
    </w:pPr>
    <w:rPr>
      <w:rFonts w:ascii="Source Sans Pro" w:hAnsi="Source Sans Pro" w:cs="Arial" w:asciiTheme="Source Sans Pro"/>
      <w:sz w:val="20"/>
    </w:rPr>
  </w:style>
  <w:style w:type="paragraph" w:customStyle="1" w:styleId="MPLHeading1">
    <w:name w:val="MPL Heading 1"/>
    <w:basedOn w:val="Heading2"/>
    <w:qFormat/>
    <w:rsid w:val="006907CC"/>
    <w:pPr>
      <w:numPr>
        <w:numId w:val="10"/>
      </w:numPr>
      <w:tabs>
        <w:tab w:val="num" w:pos="360"/>
      </w:tabs>
      <w:spacing w:afterLines="50" w:after="120"/>
    </w:pPr>
    <w:rPr>
      <w:rFonts w:ascii="Source Sans Pro" w:hAnsi="Source Sans Pro" w:cs="Arial" w:asciiTheme="Source Sans Pro"/>
      <w:color w:val="000F46"/>
      <w:sz w:val="32"/>
    </w:rPr>
  </w:style>
  <w:style w:type="paragraph" w:customStyle="1" w:styleId="MPLParagraphlevel2">
    <w:name w:val="MPL Paragraph level 2"/>
    <w:basedOn w:val="ListParagraph"/>
    <w:qFormat/>
    <w:rsid w:val="006907CC"/>
    <w:pPr>
      <w:numPr>
        <w:ilvl w:val="2"/>
        <w:numId w:val="10"/>
      </w:numPr>
      <w:tabs>
        <w:tab w:val="num" w:pos="360"/>
      </w:tabs>
    </w:pPr>
    <w:rPr>
      <w:rFonts w:ascii="Source Sans Pro" w:hAnsi="Source Sans Pro" w:cs="Arial" w:asciiTheme="Source Sans Pro"/>
      <w:sz w:val="20"/>
    </w:rPr>
  </w:style>
  <w:style w:type="paragraph" w:customStyle="1" w:styleId="MPLParagraphlevel3">
    <w:name w:val="MPL Paragraph level 3"/>
    <w:basedOn w:val="ListParagraph"/>
    <w:qFormat/>
    <w:rsid w:val="006907CC"/>
    <w:pPr>
      <w:numPr>
        <w:ilvl w:val="3"/>
        <w:numId w:val="10"/>
      </w:numPr>
      <w:tabs>
        <w:tab w:val="num" w:pos="360"/>
      </w:tabs>
      <w:spacing w:before="120" w:after="120"/>
      <w:ind w:left="720" w:firstLine="6"/>
    </w:pPr>
    <w:rPr>
      <w:rFonts w:ascii="Source Sans Pro" w:hAnsi="Source Sans Pro" w:cs="Arial" w:asciiTheme="Source Sans Pro"/>
      <w:sz w:val="20"/>
    </w:rPr>
  </w:style>
  <w:style w:type="paragraph" w:customStyle="1" w:styleId="MPLParagraphlevel4">
    <w:name w:val="MPL Paragraph level 4"/>
    <w:basedOn w:val="ListParagraph"/>
    <w:qFormat/>
    <w:rsid w:val="006907CC"/>
    <w:pPr>
      <w:numPr>
        <w:ilvl w:val="4"/>
        <w:numId w:val="10"/>
      </w:numPr>
      <w:tabs>
        <w:tab w:val="num" w:pos="360"/>
      </w:tabs>
      <w:spacing w:afterLines="50" w:after="120"/>
      <w:ind w:left="720"/>
    </w:pPr>
    <w:rPr>
      <w:rFonts w:ascii="Source Sans Pro" w:hAnsi="Source Sans Pro" w:cs="Arial" w:asciiTheme="Source Sans Pro"/>
      <w:sz w:val="20"/>
    </w:rPr>
  </w:style>
  <w:style w:type="paragraph" w:customStyle="1" w:styleId="MPFSubheading">
    <w:name w:val="MPF Subheading"/>
    <w:basedOn w:val="Heading3"/>
    <w:qFormat/>
    <w:rsid w:val="006907CC"/>
    <w:pPr>
      <w:spacing w:afterLines="50" w:after="120"/>
    </w:pPr>
    <w:rPr>
      <w:rFonts w:ascii="Source Sans Pro" w:hAnsi="Source Sans Pro" w:cs="Arial" w:asciiTheme="Source Sans Pro"/>
      <w:color w:val="000F46"/>
      <w:sz w:val="28"/>
    </w:rPr>
  </w:style>
  <w:style w:type="paragraph" w:customStyle="1" w:styleId="MPLParapgrah">
    <w:name w:val="MPL Parapgrah"/>
    <w:basedOn w:val="Normal"/>
    <w:qFormat/>
    <w:rsid w:val="006907CC"/>
    <w:rPr>
      <w:rFonts w:ascii="Source Sans Pro" w:hAnsi="Source Sans Pro" w:cs="Arial"/>
      <w:lang w:val="en-AU"/>
    </w:rPr>
  </w:style>
  <w:style w:type="paragraph" w:customStyle="1" w:styleId="MPLNoNumberingHeadings">
    <w:name w:val="MPL No Numbering Headings"/>
    <w:basedOn w:val="Heading2"/>
    <w:qFormat/>
    <w:rsid w:val="006907CC"/>
    <w:rPr>
      <w:rFonts w:ascii="Source Sans Pro" w:hAnsi="Source Sans Pro" w:cs="Arial" w:asciiTheme="Source Sans Pro"/>
      <w:color w:val="000F4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://www.legislation.vic.gov.au/domino/web_notes/ldms/pubstatbook.nsf/edfb620cf7503d1aca256da4001b08af/489fcdb5278f3602ca25767f00102b11/$file/09-078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y.unimelb.edu.au/MPF1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y.unimelb.edu.au/MPF13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out.unimelb.edu.au/strategy/governance/regulatory-framework/legislative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vic.gov.au/domino/web_notes/ldms/pubstatbook.nsf/edfb620cf7503d1aca256da4001b08af/489fcdb5278f3602ca25767f00102b11/$file/09-078a.pdf" TargetMode="External"/><Relationship Id="rId14" Type="http://schemas.openxmlformats.org/officeDocument/2006/relationships/fontTable" Target="fontTable.xml"/><Relationship Id="rId16" Type="http://schemas.openxmlformats.org/officeDocument/2006/relationships/hyperlink" Target="https://policy.unimelb.edu.au/category/Health and Safety/" TargetMode="External"/><Relationship Id="rId17" Type="http://schemas.openxmlformats.org/officeDocument/2006/relationships/hyperlink" Target="https://au.promapp.com/unimelb/Process/Group/a323fea9-8a11-4f37-9f22-623ece4eac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Gabbie Hepworth</cp:lastModifiedBy>
  <cp:revision>4</cp:revision>
  <dcterms:created xsi:type="dcterms:W3CDTF">2023-11-27T23:21:00Z</dcterms:created>
  <dcterms:modified xsi:type="dcterms:W3CDTF">2023-12-04T04:33:00Z</dcterms:modified>
  <cp:category/>
</cp:coreProperties>
</file>