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University Honours and Recognition Policy (MPF1235)</w:t>
      </w:r>
    </w:p>
    <w:p>
      <w:r/>
    </w:p>
    <w:p>
      <w:r>
        <w:rPr>
          <w:rFonts w:ascii="Source Sans Pro" w:hAnsi="Source Sans Pro"/>
          <w:b/>
          <w:sz w:val="20"/>
        </w:rPr>
        <w:t xml:space="preserve">Category: </w:t>
      </w:r>
      <w:r/>
      <w:hyperlink r:id="rId27">
        <w:r>
          <w:rPr>
            <w:color w:val="0000FF"/>
            <w:u w:val="single"/>
          </w:rPr>
          <w:t xml:space="preserve"> Engagement </w:t>
        </w:r>
      </w:hyperlink>
      <w:r/>
      <w:r>
        <w:br/>
      </w:r>
      <w:r>
        <w:rPr>
          <w:rFonts w:ascii="Source Sans Pro" w:hAnsi="Source Sans Pro"/>
          <w:b/>
          <w:sz w:val="20"/>
        </w:rPr>
        <w:t xml:space="preserve">Version: </w:t>
      </w:r>
      <w:r>
        <w:rPr>
          <w:rFonts w:ascii="Source Sans Pro" w:hAnsi="Source Sans Pro"/>
          <w:sz w:val="20"/>
        </w:rPr>
        <w:t>15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06 February,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07 February, 2024</w:t>
        <w:br/>
      </w:r>
      <w:r>
        <w:rPr>
          <w:rFonts w:ascii="Source Sans Pro" w:hAnsi="Source Sans Pro"/>
          <w:b/>
          <w:sz w:val="20"/>
        </w:rPr>
        <w:t xml:space="preserve">Review due by: </w:t>
      </w:r>
      <w:r>
        <w:rPr>
          <w:rFonts w:ascii="Source Sans Pro" w:hAnsi="Source Sans Pro"/>
          <w:sz w:val="20"/>
        </w:rPr>
        <w:t>13 March, 2023</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r>
        <w:rPr>
          <w:rFonts w:ascii="Source Sans Pro" w:hAnsi="Source Sans Pro"/>
          <w:b/>
          <w:sz w:val="20"/>
        </w:rPr>
        <w:t xml:space="preserve">Supporting Process: </w:t>
      </w:r>
      <w:r/>
      <w:r>
        <w:br/>
      </w:r>
      <w:hyperlink r:id="rId18">
        <w:r>
          <w:rPr>
            <w:color w:val="0000FF"/>
            <w:u w:val="single"/>
          </w:rPr>
          <w:t>Governance Processes</w:t>
        </w:r>
      </w:hyperlink>
      <w:r/>
      <w:r>
        <w:br/>
      </w:r>
    </w:p>
    <w:p w14:paraId="6337434B" w14:textId="77777777" w:rsidR="00B0087B" w:rsidRDefault="00F857FF" w:rsidP="00AF363F">
      <w:pPr>
        <w:pStyle w:val="MPLHeading1"/>
        <w:numPr>
          <w:ilvl w:val="0"/>
          <w:numId w:val="0"/>
        </w:numPr>
      </w:pPr>
      <w:r>
        <w:t xml:space="preserve">Objective </w:t>
      </w:r>
    </w:p>
    <w:p w14:paraId="5A1D8CCE" w14:textId="77777777" w:rsidR="00B0087B" w:rsidRDefault="00F857FF" w:rsidP="0066581B">
      <w:pPr>
        <w:pStyle w:val="MPLParagraphlevel1"/>
      </w:pPr>
      <w:r>
        <w:t xml:space="preserve">The objective of this policy is to guide: </w:t>
      </w:r>
    </w:p>
    <w:p w14:paraId="3AAF9EA4" w14:textId="77777777" w:rsidR="00B0087B" w:rsidRDefault="00F857FF" w:rsidP="0066581B">
      <w:pPr>
        <w:pStyle w:val="MPLParagraphlevel2"/>
      </w:pPr>
      <w:r>
        <w:t xml:space="preserve">the recognition of outstanding contributions, distinguished service, and exceptional generosity and support to the University by individuals or communities engaged with the University; and </w:t>
      </w:r>
    </w:p>
    <w:p w14:paraId="7E65D151" w14:textId="77777777" w:rsidR="00B0087B" w:rsidRDefault="00F857FF" w:rsidP="0066581B">
      <w:pPr>
        <w:pStyle w:val="MPLParagraphlevel2"/>
      </w:pPr>
      <w:r>
        <w:t xml:space="preserve">the nomination and awarding of honorary degrees under the Council Regulation. </w:t>
      </w:r>
    </w:p>
    <w:p w14:paraId="231C052B" w14:textId="77777777" w:rsidR="00B0087B" w:rsidRDefault="00F857FF" w:rsidP="0066581B">
      <w:pPr>
        <w:pStyle w:val="MPLHeading1"/>
      </w:pPr>
      <w:r>
        <w:t>Sc</w:t>
      </w:r>
      <w:r w:rsidR="0066581B">
        <w:t>o</w:t>
      </w:r>
      <w:r>
        <w:t xml:space="preserve">pe </w:t>
      </w:r>
    </w:p>
    <w:p w14:paraId="04FEF61A" w14:textId="77777777" w:rsidR="00B0087B" w:rsidRDefault="00F857FF" w:rsidP="0066581B">
      <w:pPr>
        <w:pStyle w:val="MPLParagraphlevel1"/>
      </w:pPr>
      <w:r>
        <w:t xml:space="preserve">Unless otherwise stated, this policy applies to proposers and approvers of all </w:t>
      </w:r>
      <w:proofErr w:type="spellStart"/>
      <w:r>
        <w:t>honours</w:t>
      </w:r>
      <w:proofErr w:type="spellEnd"/>
      <w:r>
        <w:t xml:space="preserve"> and awards at the University. </w:t>
      </w:r>
    </w:p>
    <w:p w14:paraId="4433EEC1" w14:textId="77777777" w:rsidR="00B0087B" w:rsidRDefault="00F857FF" w:rsidP="0066581B">
      <w:pPr>
        <w:pStyle w:val="MPLParagraphlevel1"/>
      </w:pPr>
      <w:r>
        <w:t xml:space="preserve">This policy does not apply to </w:t>
      </w:r>
    </w:p>
    <w:p w14:paraId="175B3B81" w14:textId="77777777" w:rsidR="00B0087B" w:rsidRDefault="00F857FF" w:rsidP="0066581B">
      <w:pPr>
        <w:pStyle w:val="MPLParagraphlevel2"/>
      </w:pPr>
      <w:r>
        <w:t>student awards established under the Establishment and Award of Student Awards Policy (</w:t>
      </w:r>
      <w:hyperlink r:id="rId8" w:history="1">
        <w:r w:rsidRPr="0066581B">
          <w:rPr>
            <w:rStyle w:val="Hyperlink"/>
          </w:rPr>
          <w:t>MPF1062</w:t>
        </w:r>
      </w:hyperlink>
      <w:r>
        <w:t xml:space="preserve">); or </w:t>
      </w:r>
    </w:p>
    <w:p w14:paraId="22069217" w14:textId="77777777" w:rsidR="00B0087B" w:rsidRDefault="00F857FF" w:rsidP="0066581B">
      <w:pPr>
        <w:pStyle w:val="MPLParagraphlevel2"/>
      </w:pPr>
      <w:r>
        <w:t xml:space="preserve">the naming of </w:t>
      </w:r>
      <w:proofErr w:type="gramStart"/>
      <w:r>
        <w:t>University</w:t>
      </w:r>
      <w:proofErr w:type="gramEnd"/>
      <w:r>
        <w:t xml:space="preserve"> property, entities, academic positions, academic programs, and student or staff awards in recognition of a person, group or </w:t>
      </w:r>
      <w:proofErr w:type="spellStart"/>
      <w:r>
        <w:t>organisation</w:t>
      </w:r>
      <w:proofErr w:type="spellEnd"/>
      <w:r>
        <w:t xml:space="preserve"> under the University Naming and Memorial Policy (</w:t>
      </w:r>
      <w:hyperlink r:id="rId9" w:history="1">
        <w:r w:rsidRPr="0066581B">
          <w:rPr>
            <w:rStyle w:val="Hyperlink"/>
          </w:rPr>
          <w:t>MPF1201</w:t>
        </w:r>
      </w:hyperlink>
      <w:r>
        <w:t xml:space="preserve">). </w:t>
      </w:r>
    </w:p>
    <w:p w14:paraId="711F481B" w14:textId="77777777" w:rsidR="00B0087B" w:rsidRDefault="00F857FF" w:rsidP="0066581B">
      <w:pPr>
        <w:pStyle w:val="MPLHeading1"/>
      </w:pPr>
      <w:r>
        <w:t xml:space="preserve">Authority </w:t>
      </w:r>
    </w:p>
    <w:p w14:paraId="581E2626" w14:textId="77777777" w:rsidR="00B0087B" w:rsidRDefault="00F857FF" w:rsidP="0066581B">
      <w:pPr>
        <w:pStyle w:val="MPLParagraphlevel1"/>
      </w:pPr>
      <w:r>
        <w:t xml:space="preserve">This policy is made under the </w:t>
      </w:r>
      <w:hyperlink r:id="rId10"/>
      <w:hyperlink r:id="rId11">
        <w:r>
          <w:rPr>
            <w:color w:val="0000EE"/>
            <w:u w:val="single"/>
          </w:rPr>
          <w:t xml:space="preserve">University of Melbourne Act 2009 </w:t>
        </w:r>
      </w:hyperlink>
      <w:hyperlink r:id="rId12">
        <w:r>
          <w:rPr>
            <w:color w:val="0000EE"/>
            <w:u w:val="single"/>
          </w:rPr>
          <w:t xml:space="preserve">(Vic) </w:t>
        </w:r>
      </w:hyperlink>
      <w:r>
        <w:t xml:space="preserve">and the </w:t>
      </w:r>
      <w:hyperlink r:id="rId13">
        <w:r>
          <w:rPr>
            <w:color w:val="0000EE"/>
            <w:u w:val="single"/>
          </w:rPr>
          <w:t xml:space="preserve">Council Regulation </w:t>
        </w:r>
      </w:hyperlink>
      <w:r>
        <w:t xml:space="preserve">. </w:t>
      </w:r>
    </w:p>
    <w:p w14:paraId="17AA60D7" w14:textId="77777777" w:rsidR="00B0087B" w:rsidRDefault="00F857FF" w:rsidP="0066581B">
      <w:pPr>
        <w:pStyle w:val="MPLHeading1"/>
      </w:pPr>
      <w:r>
        <w:t xml:space="preserve">Policy </w:t>
      </w:r>
    </w:p>
    <w:p w14:paraId="7E51D432" w14:textId="77777777" w:rsidR="00B0087B" w:rsidRDefault="00F857FF" w:rsidP="0066581B">
      <w:pPr>
        <w:pStyle w:val="MPLParagraphlevel1"/>
      </w:pPr>
      <w:r>
        <w:t xml:space="preserve">The nomination and approval of </w:t>
      </w:r>
      <w:proofErr w:type="spellStart"/>
      <w:r>
        <w:t>honours</w:t>
      </w:r>
      <w:proofErr w:type="spellEnd"/>
      <w:r>
        <w:t xml:space="preserve"> and awards at the University must: </w:t>
      </w:r>
    </w:p>
    <w:p w14:paraId="244675EE" w14:textId="77777777" w:rsidR="00B0087B" w:rsidRDefault="0066581B" w:rsidP="0066581B">
      <w:pPr>
        <w:pStyle w:val="MPLParagraphlevel2"/>
      </w:pPr>
      <w:r>
        <w:t>a</w:t>
      </w:r>
      <w:r w:rsidR="00F857FF">
        <w:t xml:space="preserve">lign with the objects, values, strategies and policies of the University and community </w:t>
      </w:r>
      <w:proofErr w:type="gramStart"/>
      <w:r w:rsidR="00F857FF">
        <w:t>expectations;</w:t>
      </w:r>
      <w:proofErr w:type="gramEnd"/>
      <w:r w:rsidR="00F857FF">
        <w:t xml:space="preserve"> </w:t>
      </w:r>
    </w:p>
    <w:p w14:paraId="3E26F75D" w14:textId="77777777" w:rsidR="00B0087B" w:rsidRDefault="00F857FF" w:rsidP="0066581B">
      <w:pPr>
        <w:pStyle w:val="MPLParagraphlevel2"/>
      </w:pPr>
      <w:r>
        <w:t xml:space="preserve">respect and reflect the diversity of the </w:t>
      </w:r>
      <w:proofErr w:type="gramStart"/>
      <w:r>
        <w:t>community;</w:t>
      </w:r>
      <w:proofErr w:type="gramEnd"/>
      <w:r>
        <w:t xml:space="preserve"> </w:t>
      </w:r>
    </w:p>
    <w:p w14:paraId="77EC84B2" w14:textId="77777777" w:rsidR="00B0087B" w:rsidRDefault="00F857FF" w:rsidP="0066581B">
      <w:pPr>
        <w:pStyle w:val="MPLParagraphlevel2"/>
      </w:pPr>
      <w:r>
        <w:t xml:space="preserve">not damage the University’s reputation or other interests, including the University’s commitment to maintaining high standards of integrity, academic </w:t>
      </w:r>
      <w:proofErr w:type="gramStart"/>
      <w:r>
        <w:t>freedom</w:t>
      </w:r>
      <w:proofErr w:type="gramEnd"/>
      <w:r>
        <w:t xml:space="preserve"> and freedom of speech; and </w:t>
      </w:r>
    </w:p>
    <w:p w14:paraId="47AB9FAB" w14:textId="77777777" w:rsidR="00B0087B" w:rsidRDefault="00F857FF" w:rsidP="0066581B">
      <w:pPr>
        <w:pStyle w:val="MPLParagraphlevel2"/>
      </w:pPr>
      <w:r>
        <w:t xml:space="preserve">be commensurate with the contribution made </w:t>
      </w:r>
      <w:proofErr w:type="spellStart"/>
      <w:r>
        <w:t>recognised</w:t>
      </w:r>
      <w:proofErr w:type="spellEnd"/>
      <w:r>
        <w:t xml:space="preserve"> by the </w:t>
      </w:r>
      <w:proofErr w:type="spellStart"/>
      <w:r>
        <w:t>honour</w:t>
      </w:r>
      <w:proofErr w:type="spellEnd"/>
      <w:r>
        <w:t xml:space="preserve"> or award. </w:t>
      </w:r>
    </w:p>
    <w:p w14:paraId="1E193878" w14:textId="77777777" w:rsidR="00B0087B" w:rsidRDefault="00F857FF" w:rsidP="0066581B">
      <w:pPr>
        <w:pStyle w:val="MPLParagraphlevel1"/>
      </w:pPr>
      <w:r>
        <w:t xml:space="preserve">Care will be taken to ensure that there is appropriate diversity in the pool of individuals selected for </w:t>
      </w:r>
      <w:proofErr w:type="spellStart"/>
      <w:r>
        <w:t>honours</w:t>
      </w:r>
      <w:proofErr w:type="spellEnd"/>
      <w:r>
        <w:t xml:space="preserve"> and awards. In this regard, approvers of awards and </w:t>
      </w:r>
      <w:proofErr w:type="spellStart"/>
      <w:r>
        <w:t>honours</w:t>
      </w:r>
      <w:proofErr w:type="spellEnd"/>
      <w:r>
        <w:t xml:space="preserve"> must carefully consider proposed awards and </w:t>
      </w:r>
      <w:proofErr w:type="spellStart"/>
      <w:r>
        <w:t>honours</w:t>
      </w:r>
      <w:proofErr w:type="spellEnd"/>
      <w:r>
        <w:t xml:space="preserve"> in the context of the full range of an individual’s activities, community, and achievements. Awards and </w:t>
      </w:r>
      <w:proofErr w:type="spellStart"/>
      <w:r>
        <w:t>honours</w:t>
      </w:r>
      <w:proofErr w:type="spellEnd"/>
      <w:r>
        <w:t xml:space="preserve"> must be capable of </w:t>
      </w:r>
      <w:proofErr w:type="spellStart"/>
      <w:r>
        <w:t>recognising</w:t>
      </w:r>
      <w:proofErr w:type="spellEnd"/>
      <w:r>
        <w:t xml:space="preserve"> contributions and service across a broad spectrum. </w:t>
      </w:r>
    </w:p>
    <w:p w14:paraId="489802CC" w14:textId="77777777" w:rsidR="00B0087B" w:rsidRDefault="00F857FF" w:rsidP="0066581B">
      <w:pPr>
        <w:pStyle w:val="MPLParagraphlevel1"/>
      </w:pPr>
      <w:r>
        <w:t xml:space="preserve">In addition to honorary degrees awarded under the Council Regulation, Council may establish University </w:t>
      </w:r>
      <w:proofErr w:type="spellStart"/>
      <w:r>
        <w:t>honours</w:t>
      </w:r>
      <w:proofErr w:type="spellEnd"/>
      <w:r>
        <w:t xml:space="preserve"> and awards to </w:t>
      </w:r>
      <w:proofErr w:type="spellStart"/>
      <w:r>
        <w:t>recognise</w:t>
      </w:r>
      <w:proofErr w:type="spellEnd"/>
      <w:r>
        <w:t xml:space="preserve"> outstanding contributions, distinguished service, and/or exceptional generosity and support to the University. </w:t>
      </w:r>
    </w:p>
    <w:p w14:paraId="0AB03696" w14:textId="77777777" w:rsidR="00B0087B" w:rsidRDefault="00F857FF" w:rsidP="0066581B">
      <w:pPr>
        <w:pStyle w:val="MPFSubheading"/>
      </w:pPr>
      <w:proofErr w:type="spellStart"/>
      <w:r>
        <w:t>Honours</w:t>
      </w:r>
      <w:proofErr w:type="spellEnd"/>
      <w:r>
        <w:t xml:space="preserve"> and Awards </w:t>
      </w:r>
    </w:p>
    <w:p w14:paraId="252AD03E" w14:textId="3AA99FDE" w:rsidR="00B0087B" w:rsidRDefault="00000000" w:rsidP="0066581B">
      <w:pPr>
        <w:pStyle w:val="MPLParagraphlevel1"/>
      </w:pPr>
      <w:hyperlink r:id="rId14">
        <w:r w:rsidR="00AF363F">
          <w:rPr>
            <w:color w:val="0000EE"/>
            <w:u w:val="single"/>
          </w:rPr>
          <w:t>Schedule 1</w:t>
        </w:r>
      </w:hyperlink>
      <w:r w:rsidR="00AF363F">
        <w:t xml:space="preserve"> l</w:t>
      </w:r>
      <w:r w:rsidR="00F857FF">
        <w:t xml:space="preserve">ists the approvers, name and selection criteria of </w:t>
      </w:r>
      <w:proofErr w:type="spellStart"/>
      <w:r w:rsidR="00F857FF">
        <w:t>honours</w:t>
      </w:r>
      <w:proofErr w:type="spellEnd"/>
      <w:r w:rsidR="00F857FF">
        <w:t xml:space="preserve"> and awards established and/or approved by Council in furtherance of the objectives of this policy. </w:t>
      </w:r>
    </w:p>
    <w:p w14:paraId="76839364" w14:textId="77777777" w:rsidR="00B0087B" w:rsidRDefault="00F857FF" w:rsidP="0066581B">
      <w:pPr>
        <w:pStyle w:val="MPFSubheading"/>
      </w:pPr>
      <w:r>
        <w:t xml:space="preserve">Honorary Doctorates </w:t>
      </w:r>
    </w:p>
    <w:p w14:paraId="30BA5E5D" w14:textId="77777777" w:rsidR="00B0087B" w:rsidRDefault="00F857FF" w:rsidP="0066581B">
      <w:pPr>
        <w:pStyle w:val="MPLParagraphlevel1"/>
      </w:pPr>
      <w:r>
        <w:t xml:space="preserve">In accordance with the Council Regulation, Council may admit a person to: </w:t>
      </w:r>
    </w:p>
    <w:p w14:paraId="78C2D326" w14:textId="77777777" w:rsidR="00B0087B" w:rsidRDefault="00F857FF" w:rsidP="0066581B">
      <w:pPr>
        <w:pStyle w:val="MPLParagraphlevel2"/>
      </w:pPr>
      <w:r>
        <w:t xml:space="preserve">an honorary degree of doctor provided Council is satisfied the recipient is a person of probity and shows distinguished eminence in some discipline or branch of learning associated with the proposing </w:t>
      </w:r>
      <w:proofErr w:type="gramStart"/>
      <w:r>
        <w:t>faculty;</w:t>
      </w:r>
      <w:proofErr w:type="gramEnd"/>
      <w:r>
        <w:t xml:space="preserve"> </w:t>
      </w:r>
    </w:p>
    <w:p w14:paraId="652B4FF0" w14:textId="77777777" w:rsidR="00B0087B" w:rsidRDefault="00F857FF" w:rsidP="0066581B">
      <w:pPr>
        <w:pStyle w:val="MPLParagraphlevel2"/>
      </w:pPr>
      <w:r>
        <w:lastRenderedPageBreak/>
        <w:t xml:space="preserve">Doctor of Laws provided Council is satisfied the recipient is a person of probity and is distinguished by eminent public service, outstanding cultural achievement, or other significant activities </w:t>
      </w:r>
      <w:proofErr w:type="spellStart"/>
      <w:r>
        <w:t>recognised</w:t>
      </w:r>
      <w:proofErr w:type="spellEnd"/>
      <w:r>
        <w:t xml:space="preserve"> by the University. </w:t>
      </w:r>
    </w:p>
    <w:p w14:paraId="49A6A332" w14:textId="77777777" w:rsidR="00B0087B" w:rsidRDefault="00F857FF" w:rsidP="0066581B">
      <w:pPr>
        <w:pStyle w:val="MPLParagraphlevel1"/>
      </w:pPr>
      <w:r>
        <w:t xml:space="preserve">In accordance with the Council Regulation, Council may approve nominations for the awarding of honorary doctorates on the recommendation of the Governance and Nominations Committee (GNC) provided that: </w:t>
      </w:r>
    </w:p>
    <w:p w14:paraId="18CF9C6B" w14:textId="77777777" w:rsidR="00B0087B" w:rsidRDefault="00F857FF" w:rsidP="0066581B">
      <w:pPr>
        <w:pStyle w:val="MPLParagraphlevel2"/>
      </w:pPr>
      <w:r>
        <w:t xml:space="preserve">where the nomination is for the Honorary Doctorate in Laws, the nomination is supported by a member of the University Executive Committee; or </w:t>
      </w:r>
    </w:p>
    <w:p w14:paraId="6FB073E2" w14:textId="77777777" w:rsidR="00B0087B" w:rsidRDefault="00F857FF" w:rsidP="0066581B">
      <w:pPr>
        <w:pStyle w:val="MPLParagraphlevel2"/>
      </w:pPr>
      <w:r>
        <w:t xml:space="preserve">where the nomination is for a discipline based Honorary </w:t>
      </w:r>
      <w:proofErr w:type="gramStart"/>
      <w:r>
        <w:t>Doctorate</w:t>
      </w:r>
      <w:proofErr w:type="gramEnd"/>
      <w:r>
        <w:t xml:space="preserve"> the nomination is by the relevant dean. </w:t>
      </w:r>
    </w:p>
    <w:p w14:paraId="5F5A9C16" w14:textId="77777777" w:rsidR="00B0087B" w:rsidRDefault="00F857FF" w:rsidP="0066581B">
      <w:pPr>
        <w:pStyle w:val="MPLParagraphlevel1"/>
      </w:pPr>
      <w:r>
        <w:t xml:space="preserve">Upon conferral, a recipient of an honorary doctorate is an alumnus of the University. </w:t>
      </w:r>
    </w:p>
    <w:p w14:paraId="3222E2EB" w14:textId="77777777" w:rsidR="00B0087B" w:rsidRDefault="00F857FF" w:rsidP="0066581B">
      <w:pPr>
        <w:pStyle w:val="MPFSubheading"/>
      </w:pPr>
      <w:r>
        <w:t xml:space="preserve">General </w:t>
      </w:r>
    </w:p>
    <w:p w14:paraId="7F680C90" w14:textId="77777777" w:rsidR="00B0087B" w:rsidRDefault="00F857FF" w:rsidP="0066581B">
      <w:pPr>
        <w:pStyle w:val="MPLParagraphlevel1"/>
      </w:pPr>
      <w:r>
        <w:t xml:space="preserve">Conferral of an </w:t>
      </w:r>
      <w:proofErr w:type="spellStart"/>
      <w:r>
        <w:t>honour</w:t>
      </w:r>
      <w:proofErr w:type="spellEnd"/>
      <w:r>
        <w:t xml:space="preserve"> or award under this policy does not give the recipient any special privileges or any control or responsibility nor must it be used to seek material benefit from association of the name with the University. </w:t>
      </w:r>
    </w:p>
    <w:p w14:paraId="55B6DD2F" w14:textId="77777777" w:rsidR="00B0087B" w:rsidRDefault="00F857FF" w:rsidP="0066581B">
      <w:pPr>
        <w:pStyle w:val="MPLParagraphlevel1"/>
      </w:pPr>
      <w:r>
        <w:t xml:space="preserve">For the avoidance of doubt, nothing in this policy requires an </w:t>
      </w:r>
      <w:proofErr w:type="spellStart"/>
      <w:r>
        <w:t>honour</w:t>
      </w:r>
      <w:proofErr w:type="spellEnd"/>
      <w:r>
        <w:t xml:space="preserve"> or award to be approved if no candidate or nominee meets the selection requirements for the </w:t>
      </w:r>
      <w:proofErr w:type="spellStart"/>
      <w:r>
        <w:t>honour</w:t>
      </w:r>
      <w:proofErr w:type="spellEnd"/>
      <w:r>
        <w:t xml:space="preserve"> or award. </w:t>
      </w:r>
    </w:p>
    <w:p w14:paraId="63502B10" w14:textId="77777777" w:rsidR="00B0087B" w:rsidRDefault="00F857FF" w:rsidP="0066581B">
      <w:pPr>
        <w:pStyle w:val="MPFSubheading"/>
      </w:pPr>
      <w:r>
        <w:t xml:space="preserve">Withdrawing an </w:t>
      </w:r>
      <w:proofErr w:type="spellStart"/>
      <w:r>
        <w:t>honour</w:t>
      </w:r>
      <w:proofErr w:type="spellEnd"/>
      <w:r>
        <w:t xml:space="preserve"> or award </w:t>
      </w:r>
    </w:p>
    <w:p w14:paraId="15910099" w14:textId="77777777" w:rsidR="00B0087B" w:rsidRDefault="00F857FF" w:rsidP="0066581B">
      <w:pPr>
        <w:pStyle w:val="MPLParagraphlevel1"/>
      </w:pPr>
      <w:r>
        <w:t xml:space="preserve">In the event of a change in the recipient's circumstances (for example, if the recipient comes into disrepute), Council, or the approver, may, on reasonable grounds withdraw an award. </w:t>
      </w:r>
    </w:p>
    <w:p w14:paraId="76D0A3C1" w14:textId="77777777" w:rsidR="00B0087B" w:rsidRDefault="00F857FF" w:rsidP="0066581B">
      <w:pPr>
        <w:pStyle w:val="MPLHeading1"/>
      </w:pPr>
      <w:r>
        <w:t xml:space="preserve">Procedural Principles </w:t>
      </w:r>
    </w:p>
    <w:p w14:paraId="3D270977" w14:textId="77777777" w:rsidR="00B0087B" w:rsidRDefault="00F857FF" w:rsidP="0066581B">
      <w:pPr>
        <w:pStyle w:val="MPFSubheading"/>
      </w:pPr>
      <w:r>
        <w:t xml:space="preserve">Processes for Council-approved nominations </w:t>
      </w:r>
    </w:p>
    <w:p w14:paraId="1DA2F8DE" w14:textId="692492DE" w:rsidR="00B0087B" w:rsidRDefault="00F857FF" w:rsidP="0066581B">
      <w:pPr>
        <w:pStyle w:val="MPLParagraphlevel1"/>
      </w:pPr>
      <w:r>
        <w:t xml:space="preserve">Where Council is the approver, the University Secretary must establish and publish processes for nominating, considering and awarding of the </w:t>
      </w:r>
      <w:proofErr w:type="spellStart"/>
      <w:r>
        <w:t>honours</w:t>
      </w:r>
      <w:proofErr w:type="spellEnd"/>
      <w:r>
        <w:t xml:space="preserve"> and awards listed in </w:t>
      </w:r>
      <w:hyperlink r:id="rId15">
        <w:r w:rsidR="00AF363F">
          <w:rPr>
            <w:color w:val="0000EE"/>
            <w:u w:val="single"/>
          </w:rPr>
          <w:t>Schedule 1</w:t>
        </w:r>
      </w:hyperlink>
      <w:r w:rsidR="00AF363F">
        <w:t>.</w:t>
      </w:r>
    </w:p>
    <w:p w14:paraId="10321FF0" w14:textId="77777777" w:rsidR="00B0087B" w:rsidRDefault="00F857FF" w:rsidP="0066581B">
      <w:pPr>
        <w:pStyle w:val="MPFSubheading"/>
      </w:pPr>
      <w:r>
        <w:t xml:space="preserve">Additional requirements for Honorary Doctorates and Fellow of the University award </w:t>
      </w:r>
    </w:p>
    <w:p w14:paraId="6DFFF202" w14:textId="77777777" w:rsidR="00B0087B" w:rsidRDefault="00F857FF" w:rsidP="0066581B">
      <w:pPr>
        <w:pStyle w:val="MPLParagraphlevel1"/>
      </w:pPr>
      <w:r>
        <w:t xml:space="preserve">Nominations for honorary doctorates to Council must include: </w:t>
      </w:r>
    </w:p>
    <w:p w14:paraId="0EF41CEF" w14:textId="77777777" w:rsidR="00B0087B" w:rsidRDefault="00F857FF" w:rsidP="0066581B">
      <w:pPr>
        <w:pStyle w:val="MPLParagraphlevel2"/>
      </w:pPr>
      <w:r>
        <w:t xml:space="preserve">written evidence of support from the </w:t>
      </w:r>
      <w:proofErr w:type="gramStart"/>
      <w:r>
        <w:t>nominator;</w:t>
      </w:r>
      <w:proofErr w:type="gramEnd"/>
      <w:r>
        <w:t xml:space="preserve"> </w:t>
      </w:r>
    </w:p>
    <w:p w14:paraId="4606A702" w14:textId="77777777" w:rsidR="00B0087B" w:rsidRDefault="00F857FF" w:rsidP="0066581B">
      <w:pPr>
        <w:pStyle w:val="MPLParagraphlevel2"/>
      </w:pPr>
      <w:r>
        <w:t xml:space="preserve">a </w:t>
      </w:r>
      <w:proofErr w:type="gramStart"/>
      <w:r>
        <w:t>one page</w:t>
      </w:r>
      <w:proofErr w:type="gramEnd"/>
      <w:r>
        <w:t xml:space="preserve"> citation; </w:t>
      </w:r>
    </w:p>
    <w:p w14:paraId="0841DBAF" w14:textId="77777777" w:rsidR="00B0087B" w:rsidRDefault="00F857FF" w:rsidP="0066581B">
      <w:pPr>
        <w:pStyle w:val="MPLParagraphlevel2"/>
      </w:pPr>
      <w:r>
        <w:t xml:space="preserve">written evidence of support from </w:t>
      </w:r>
      <w:hyperlink r:id="rId16">
        <w:r>
          <w:rPr>
            <w:color w:val="0000EE"/>
            <w:u w:val="single"/>
          </w:rPr>
          <w:t xml:space="preserve">a member of University Executive Committee </w:t>
        </w:r>
      </w:hyperlink>
      <w:r>
        <w:t xml:space="preserve">; </w:t>
      </w:r>
    </w:p>
    <w:p w14:paraId="619587E3" w14:textId="77777777" w:rsidR="00B0087B" w:rsidRDefault="00F857FF" w:rsidP="0066581B">
      <w:pPr>
        <w:pStyle w:val="MPLParagraphlevel2"/>
      </w:pPr>
      <w:r>
        <w:t xml:space="preserve">a plan for communication and engagement activities with the potential </w:t>
      </w:r>
      <w:proofErr w:type="gramStart"/>
      <w:r>
        <w:t>recipient;</w:t>
      </w:r>
      <w:proofErr w:type="gramEnd"/>
      <w:r>
        <w:t xml:space="preserve"> </w:t>
      </w:r>
    </w:p>
    <w:p w14:paraId="408AFBF6" w14:textId="77777777" w:rsidR="00B0087B" w:rsidRDefault="00F857FF" w:rsidP="0066581B">
      <w:pPr>
        <w:pStyle w:val="MPLParagraphlevel2"/>
      </w:pPr>
      <w:r>
        <w:t xml:space="preserve">a summary of the nominee’s achievements; and </w:t>
      </w:r>
    </w:p>
    <w:p w14:paraId="2EF0E6CF" w14:textId="77777777" w:rsidR="00B0087B" w:rsidRDefault="00F857FF" w:rsidP="0066581B">
      <w:pPr>
        <w:pStyle w:val="MPLParagraphlevel2"/>
      </w:pPr>
      <w:r>
        <w:t xml:space="preserve">a nominated relationship manager. </w:t>
      </w:r>
    </w:p>
    <w:p w14:paraId="6AD34FE4" w14:textId="77777777" w:rsidR="00B0087B" w:rsidRDefault="0066581B" w:rsidP="0066581B">
      <w:pPr>
        <w:pStyle w:val="MPLParagraphlevel1"/>
      </w:pPr>
      <w:r>
        <w:t>F</w:t>
      </w:r>
      <w:r w:rsidR="00F857FF">
        <w:t xml:space="preserve">rom the time a recipient accepts an award for an honorary doctorate, the nominated relationship manager, in consultation with the Manager of Protocol, </w:t>
      </w:r>
      <w:proofErr w:type="gramStart"/>
      <w:r w:rsidR="00F857FF">
        <w:t>is</w:t>
      </w:r>
      <w:proofErr w:type="gramEnd"/>
      <w:r w:rsidR="00F857FF">
        <w:t xml:space="preserve"> </w:t>
      </w:r>
    </w:p>
    <w:p w14:paraId="47ACBC9D" w14:textId="77777777" w:rsidR="00B0087B" w:rsidRDefault="00F857FF" w:rsidP="0066581B">
      <w:pPr>
        <w:pStyle w:val="MPLParagraphlevel2"/>
      </w:pPr>
      <w:r>
        <w:t xml:space="preserve">the key University contact point for the recipient; and </w:t>
      </w:r>
    </w:p>
    <w:p w14:paraId="48CCA455" w14:textId="77777777" w:rsidR="00B0087B" w:rsidRDefault="00F857FF" w:rsidP="0066581B">
      <w:pPr>
        <w:pStyle w:val="MPLParagraphlevel2"/>
      </w:pPr>
      <w:r>
        <w:t xml:space="preserve">responsible for the strategic oversight of the relationship between the University and the recipient. </w:t>
      </w:r>
    </w:p>
    <w:p w14:paraId="6DC92DCA" w14:textId="77777777" w:rsidR="00B0087B" w:rsidRDefault="00F857FF" w:rsidP="0066581B">
      <w:pPr>
        <w:pStyle w:val="MPLParagraphlevel1"/>
      </w:pPr>
      <w:r w:rsidRPr="0066581B">
        <w:t>Following</w:t>
      </w:r>
      <w:r>
        <w:t xml:space="preserve"> Council approval of Honorary Doctorates or Fellow of the University awards, the University Secretary informs the proposed recipient of the offer of the degree or award. </w:t>
      </w:r>
    </w:p>
    <w:p w14:paraId="59EE8136" w14:textId="77777777" w:rsidR="00B0087B" w:rsidRDefault="00F857FF" w:rsidP="0066581B">
      <w:pPr>
        <w:pStyle w:val="MPLParagraphlevel1"/>
      </w:pPr>
      <w:r>
        <w:lastRenderedPageBreak/>
        <w:t xml:space="preserve">If the proposed recipient accepts the offer of the Honorary Doctorate or Fellow of the University, the University Secretary informs the relevant stakeholders. </w:t>
      </w:r>
    </w:p>
    <w:p w14:paraId="2DDFE4F0" w14:textId="77777777" w:rsidR="00B0087B" w:rsidRDefault="00F857FF" w:rsidP="0066581B">
      <w:pPr>
        <w:pStyle w:val="MPLParagraphlevel1"/>
      </w:pPr>
      <w:r>
        <w:t xml:space="preserve">Honorary doctorate and the Fellow of the University of Melbourne awards are conferred at a graduation ceremony or other suitable University conferral ceremony. </w:t>
      </w:r>
    </w:p>
    <w:p w14:paraId="015E8962" w14:textId="77777777" w:rsidR="00B0087B" w:rsidRDefault="00F857FF" w:rsidP="0066581B">
      <w:pPr>
        <w:pStyle w:val="MPLParagraphlevel1"/>
      </w:pPr>
      <w:r>
        <w:t xml:space="preserve">Subject to 5.6, the awarding of </w:t>
      </w:r>
      <w:proofErr w:type="spellStart"/>
      <w:r>
        <w:t>honours</w:t>
      </w:r>
      <w:proofErr w:type="spellEnd"/>
      <w:r>
        <w:t xml:space="preserve"> and awards may be held at appropriate ceremonies or events managed by the appropriate University division. </w:t>
      </w:r>
    </w:p>
    <w:p w14:paraId="22C91EF0" w14:textId="77777777" w:rsidR="00B0087B" w:rsidRDefault="00F857FF" w:rsidP="0066581B">
      <w:pPr>
        <w:pStyle w:val="MPFSubheading"/>
      </w:pPr>
      <w:r>
        <w:t xml:space="preserve">General </w:t>
      </w:r>
    </w:p>
    <w:p w14:paraId="18B4A8B8" w14:textId="77777777" w:rsidR="00B0087B" w:rsidRDefault="00F857FF" w:rsidP="0066581B">
      <w:pPr>
        <w:pStyle w:val="MPLParagraphlevel1"/>
      </w:pPr>
      <w:r>
        <w:t xml:space="preserve">Apart from processes established under sections 5.1, approvers of other </w:t>
      </w:r>
      <w:proofErr w:type="spellStart"/>
      <w:r>
        <w:t>honours</w:t>
      </w:r>
      <w:proofErr w:type="spellEnd"/>
      <w:r>
        <w:t xml:space="preserve"> and awards must, for the </w:t>
      </w:r>
      <w:proofErr w:type="spellStart"/>
      <w:r>
        <w:t>honours</w:t>
      </w:r>
      <w:proofErr w:type="spellEnd"/>
      <w:r>
        <w:t xml:space="preserve"> and awards that the approver is responsible, establish and publish processes for nominating and awarding the </w:t>
      </w:r>
      <w:proofErr w:type="spellStart"/>
      <w:r>
        <w:t>honours</w:t>
      </w:r>
      <w:proofErr w:type="spellEnd"/>
      <w:r>
        <w:t xml:space="preserve"> and awards. </w:t>
      </w:r>
    </w:p>
    <w:p w14:paraId="65B95D6A" w14:textId="77777777" w:rsidR="00B0087B" w:rsidRDefault="00F857FF" w:rsidP="0066581B">
      <w:pPr>
        <w:pStyle w:val="MPLParagraphlevel1"/>
      </w:pPr>
      <w:r>
        <w:t xml:space="preserve">Nominators must include required documentation in accordance with the processes published under this policy. </w:t>
      </w:r>
    </w:p>
    <w:p w14:paraId="1341A768" w14:textId="77777777" w:rsidR="00B0087B" w:rsidRDefault="00F857FF" w:rsidP="0066581B">
      <w:pPr>
        <w:pStyle w:val="MPLParagraphlevel1"/>
      </w:pPr>
      <w:r>
        <w:t>Records of actions taken in accordance with this policy must be created and managed in accordance with the University’</w:t>
      </w:r>
      <w:r w:rsidR="0066581B">
        <w:t>s Records Management Policy (</w:t>
      </w:r>
      <w:hyperlink r:id="rId17" w:history="1">
        <w:r w:rsidR="0066581B" w:rsidRPr="0066581B">
          <w:rPr>
            <w:rStyle w:val="Hyperlink"/>
          </w:rPr>
          <w:t>MPF1106</w:t>
        </w:r>
      </w:hyperlink>
      <w:r w:rsidR="0066581B">
        <w:t>).</w:t>
      </w:r>
    </w:p>
    <w:p w14:paraId="58BFEE30" w14:textId="77777777" w:rsidR="00B0087B" w:rsidRDefault="00F857FF" w:rsidP="0066581B">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B0087B" w:rsidRPr="0066581B" w14:paraId="5119DE0C" w14:textId="77777777">
        <w:tc>
          <w:tcPr>
            <w:tcW w:w="2880" w:type="dxa"/>
          </w:tcPr>
          <w:p w14:paraId="5621841F" w14:textId="77777777" w:rsidR="00B0087B" w:rsidRPr="0066581B" w:rsidRDefault="00B0087B"/>
          <w:p w14:paraId="5ED68D8D" w14:textId="77777777" w:rsidR="00B0087B" w:rsidRPr="0066581B" w:rsidRDefault="00F857FF">
            <w:r w:rsidRPr="0066581B">
              <w:rPr>
                <w:i/>
              </w:rPr>
              <w:t xml:space="preserve">Role/Decision/Action </w:t>
            </w:r>
          </w:p>
        </w:tc>
        <w:tc>
          <w:tcPr>
            <w:tcW w:w="2880" w:type="dxa"/>
          </w:tcPr>
          <w:p w14:paraId="68013077" w14:textId="77777777" w:rsidR="00B0087B" w:rsidRPr="0066581B" w:rsidRDefault="00B0087B"/>
          <w:p w14:paraId="10AD21B2" w14:textId="77777777" w:rsidR="00B0087B" w:rsidRPr="0066581B" w:rsidRDefault="00F857FF">
            <w:r w:rsidRPr="0066581B">
              <w:rPr>
                <w:i/>
              </w:rPr>
              <w:t xml:space="preserve">Responsibility </w:t>
            </w:r>
          </w:p>
        </w:tc>
        <w:tc>
          <w:tcPr>
            <w:tcW w:w="2880" w:type="dxa"/>
          </w:tcPr>
          <w:p w14:paraId="5CF262AF" w14:textId="77777777" w:rsidR="00B0087B" w:rsidRPr="0066581B" w:rsidRDefault="00B0087B"/>
          <w:p w14:paraId="59C0B62E" w14:textId="77777777" w:rsidR="00B0087B" w:rsidRPr="0066581B" w:rsidRDefault="00F857FF">
            <w:r w:rsidRPr="0066581B">
              <w:rPr>
                <w:i/>
              </w:rPr>
              <w:t xml:space="preserve">Conditions and limitations </w:t>
            </w:r>
          </w:p>
        </w:tc>
      </w:tr>
      <w:tr w:rsidR="00B0087B" w:rsidRPr="0066581B" w14:paraId="34D84A6F" w14:textId="77777777">
        <w:tc>
          <w:tcPr>
            <w:tcW w:w="2880" w:type="dxa"/>
          </w:tcPr>
          <w:p w14:paraId="68685C4E" w14:textId="77777777" w:rsidR="00B0087B" w:rsidRPr="0066581B" w:rsidRDefault="00B0087B"/>
          <w:p w14:paraId="06AA1666" w14:textId="77777777" w:rsidR="00B0087B" w:rsidRPr="0066581B" w:rsidRDefault="00F857FF">
            <w:r w:rsidRPr="0066581B">
              <w:t xml:space="preserve">Award University </w:t>
            </w:r>
            <w:proofErr w:type="spellStart"/>
            <w:r w:rsidRPr="0066581B">
              <w:t>honours</w:t>
            </w:r>
            <w:proofErr w:type="spellEnd"/>
            <w:r w:rsidRPr="0066581B">
              <w:t xml:space="preserve"> and awards </w:t>
            </w:r>
          </w:p>
        </w:tc>
        <w:tc>
          <w:tcPr>
            <w:tcW w:w="2880" w:type="dxa"/>
          </w:tcPr>
          <w:p w14:paraId="4629F669" w14:textId="77777777" w:rsidR="00B0087B" w:rsidRPr="0066581B" w:rsidRDefault="00B0087B"/>
          <w:p w14:paraId="52DEEC31" w14:textId="77777777" w:rsidR="00B0087B" w:rsidRPr="0066581B" w:rsidRDefault="00F857FF">
            <w:r w:rsidRPr="0066581B">
              <w:t xml:space="preserve">Council </w:t>
            </w:r>
          </w:p>
        </w:tc>
        <w:tc>
          <w:tcPr>
            <w:tcW w:w="2880" w:type="dxa"/>
          </w:tcPr>
          <w:p w14:paraId="4D17E9AB" w14:textId="77777777" w:rsidR="00B0087B" w:rsidRPr="0066581B" w:rsidRDefault="00B0087B"/>
          <w:p w14:paraId="296C251B" w14:textId="77777777" w:rsidR="00B0087B" w:rsidRPr="0066581B" w:rsidRDefault="00F857FF">
            <w:r w:rsidRPr="0066581B">
              <w:t xml:space="preserve">In accordance with this policy and </w:t>
            </w:r>
            <w:hyperlink r:id="rId18">
              <w:r w:rsidRPr="0066581B">
                <w:rPr>
                  <w:color w:val="0000EE"/>
                  <w:u w:val="single"/>
                </w:rPr>
                <w:t xml:space="preserve">supporting processes </w:t>
              </w:r>
            </w:hyperlink>
            <w:hyperlink r:id="rId19"/>
            <w:hyperlink r:id="rId20"/>
          </w:p>
        </w:tc>
      </w:tr>
      <w:tr w:rsidR="00B0087B" w:rsidRPr="0066581B" w14:paraId="69C501C6" w14:textId="77777777">
        <w:tc>
          <w:tcPr>
            <w:tcW w:w="2880" w:type="dxa"/>
          </w:tcPr>
          <w:p w14:paraId="68AC650E" w14:textId="77777777" w:rsidR="00B0087B" w:rsidRPr="0066581B" w:rsidRDefault="00B0087B"/>
          <w:p w14:paraId="38ADB708" w14:textId="77777777" w:rsidR="00B0087B" w:rsidRPr="0066581B" w:rsidRDefault="00F857FF">
            <w:pPr>
              <w:pStyle w:val="ListBullet"/>
            </w:pPr>
            <w:r w:rsidRPr="0066581B">
              <w:t xml:space="preserve">Support an Honorary Doctorate </w:t>
            </w:r>
          </w:p>
          <w:p w14:paraId="7B538BCA" w14:textId="77777777" w:rsidR="00B0087B" w:rsidRPr="0066581B" w:rsidRDefault="00F857FF">
            <w:pPr>
              <w:pStyle w:val="ListBullet"/>
            </w:pPr>
            <w:r w:rsidRPr="0066581B">
              <w:t xml:space="preserve">Nominate a relationship manager for honorary doctorate recipients </w:t>
            </w:r>
          </w:p>
        </w:tc>
        <w:tc>
          <w:tcPr>
            <w:tcW w:w="2880" w:type="dxa"/>
          </w:tcPr>
          <w:p w14:paraId="4F26B513" w14:textId="77777777" w:rsidR="00B0087B" w:rsidRPr="0066581B" w:rsidRDefault="00B0087B"/>
          <w:p w14:paraId="1AFD7AF0" w14:textId="77777777" w:rsidR="00B0087B" w:rsidRPr="0066581B" w:rsidRDefault="00F857FF">
            <w:r w:rsidRPr="0066581B">
              <w:t xml:space="preserve">Member of the University Executive Committee </w:t>
            </w:r>
          </w:p>
        </w:tc>
        <w:tc>
          <w:tcPr>
            <w:tcW w:w="2880" w:type="dxa"/>
          </w:tcPr>
          <w:p w14:paraId="09620549" w14:textId="77777777" w:rsidR="00B0087B" w:rsidRPr="0066581B" w:rsidRDefault="00B0087B"/>
          <w:p w14:paraId="1071688F" w14:textId="77777777" w:rsidR="00B0087B" w:rsidRPr="0066581B" w:rsidRDefault="00F857FF">
            <w:r w:rsidRPr="0066581B">
              <w:t xml:space="preserve">In accordance with this policy and </w:t>
            </w:r>
            <w:hyperlink r:id="rId21">
              <w:r w:rsidRPr="0066581B">
                <w:rPr>
                  <w:color w:val="0000EE"/>
                  <w:u w:val="single"/>
                </w:rPr>
                <w:t xml:space="preserve">supporting processes </w:t>
              </w:r>
            </w:hyperlink>
            <w:hyperlink r:id="rId22"/>
            <w:hyperlink r:id="rId23"/>
          </w:p>
        </w:tc>
      </w:tr>
      <w:tr w:rsidR="00B0087B" w:rsidRPr="0066581B" w14:paraId="41867E5B" w14:textId="77777777">
        <w:tc>
          <w:tcPr>
            <w:tcW w:w="2880" w:type="dxa"/>
          </w:tcPr>
          <w:p w14:paraId="45E2023D" w14:textId="77777777" w:rsidR="00B0087B" w:rsidRPr="0066581B" w:rsidRDefault="00B0087B"/>
          <w:p w14:paraId="0A7CBAED" w14:textId="77777777" w:rsidR="00B0087B" w:rsidRPr="0066581B" w:rsidRDefault="00F857FF">
            <w:r w:rsidRPr="0066581B">
              <w:t xml:space="preserve">Be the key contact for, and manage the relationship with, recipients of honorary doctorates </w:t>
            </w:r>
          </w:p>
        </w:tc>
        <w:tc>
          <w:tcPr>
            <w:tcW w:w="2880" w:type="dxa"/>
          </w:tcPr>
          <w:p w14:paraId="6E1BC4A0" w14:textId="77777777" w:rsidR="00B0087B" w:rsidRPr="0066581B" w:rsidRDefault="00B0087B"/>
          <w:p w14:paraId="3A53269C" w14:textId="77777777" w:rsidR="00B0087B" w:rsidRPr="0066581B" w:rsidRDefault="00F857FF">
            <w:r w:rsidRPr="0066581B">
              <w:t xml:space="preserve">Nominated relationship manager </w:t>
            </w:r>
          </w:p>
        </w:tc>
        <w:tc>
          <w:tcPr>
            <w:tcW w:w="2880" w:type="dxa"/>
          </w:tcPr>
          <w:p w14:paraId="22FD0B83" w14:textId="77777777" w:rsidR="00B0087B" w:rsidRPr="0066581B" w:rsidRDefault="00B0087B"/>
          <w:p w14:paraId="60AF5616" w14:textId="77777777" w:rsidR="00B0087B" w:rsidRPr="0066581B" w:rsidRDefault="00F857FF">
            <w:r w:rsidRPr="0066581B">
              <w:t xml:space="preserve">In accordance with this policy </w:t>
            </w:r>
          </w:p>
        </w:tc>
      </w:tr>
      <w:tr w:rsidR="00B0087B" w:rsidRPr="0066581B" w14:paraId="7438A18B" w14:textId="77777777">
        <w:tc>
          <w:tcPr>
            <w:tcW w:w="2880" w:type="dxa"/>
          </w:tcPr>
          <w:p w14:paraId="5FAA4645" w14:textId="77777777" w:rsidR="00B0087B" w:rsidRPr="0066581B" w:rsidRDefault="00B0087B"/>
          <w:p w14:paraId="22569D69" w14:textId="77777777" w:rsidR="00B0087B" w:rsidRPr="0066581B" w:rsidRDefault="00F857FF">
            <w:r w:rsidRPr="0066581B">
              <w:t xml:space="preserve">Publish supporting processes </w:t>
            </w:r>
          </w:p>
        </w:tc>
        <w:tc>
          <w:tcPr>
            <w:tcW w:w="2880" w:type="dxa"/>
          </w:tcPr>
          <w:p w14:paraId="6FE17E89" w14:textId="77777777" w:rsidR="00B0087B" w:rsidRPr="0066581B" w:rsidRDefault="00B0087B"/>
          <w:p w14:paraId="38C05338" w14:textId="77777777" w:rsidR="00B0087B" w:rsidRPr="0066581B" w:rsidRDefault="00F857FF">
            <w:r w:rsidRPr="0066581B">
              <w:t xml:space="preserve">University Secretary or other (non-Council) approvers of </w:t>
            </w:r>
            <w:proofErr w:type="spellStart"/>
            <w:r w:rsidRPr="0066581B">
              <w:t>honours</w:t>
            </w:r>
            <w:proofErr w:type="spellEnd"/>
            <w:r w:rsidRPr="0066581B">
              <w:t xml:space="preserve"> and awards list in this policy </w:t>
            </w:r>
          </w:p>
        </w:tc>
        <w:tc>
          <w:tcPr>
            <w:tcW w:w="2880" w:type="dxa"/>
          </w:tcPr>
          <w:p w14:paraId="45455227" w14:textId="77777777" w:rsidR="00B0087B" w:rsidRPr="0066581B" w:rsidRDefault="00B0087B"/>
          <w:p w14:paraId="0F6D6E99" w14:textId="77777777" w:rsidR="00B0087B" w:rsidRPr="0066581B" w:rsidRDefault="00F857FF">
            <w:r w:rsidRPr="0066581B">
              <w:t xml:space="preserve">For </w:t>
            </w:r>
            <w:proofErr w:type="spellStart"/>
            <w:r w:rsidRPr="0066581B">
              <w:t>honours</w:t>
            </w:r>
            <w:proofErr w:type="spellEnd"/>
            <w:r w:rsidRPr="0066581B">
              <w:t xml:space="preserve"> / awards where Council approves recipients, and Patrons of the University, and in accordance with this policy. </w:t>
            </w:r>
          </w:p>
        </w:tc>
      </w:tr>
    </w:tbl>
    <w:p w14:paraId="3B9A5A04" w14:textId="77777777" w:rsidR="00B0087B" w:rsidRDefault="00B0087B"/>
    <w:p w14:paraId="2B7C237F" w14:textId="77777777" w:rsidR="00B0087B" w:rsidRDefault="00F857FF" w:rsidP="0066581B">
      <w:pPr>
        <w:pStyle w:val="MPLHeading1"/>
      </w:pPr>
      <w:r>
        <w:t xml:space="preserve">Definitions </w:t>
      </w:r>
    </w:p>
    <w:p w14:paraId="546A8305" w14:textId="77777777" w:rsidR="00B0087B" w:rsidRDefault="00F857FF" w:rsidP="0066581B">
      <w:pPr>
        <w:pStyle w:val="MPLParagraphlevel1"/>
        <w:numPr>
          <w:ilvl w:val="0"/>
          <w:numId w:val="0"/>
        </w:numPr>
      </w:pPr>
      <w:r>
        <w:rPr>
          <w:b/>
        </w:rPr>
        <w:t xml:space="preserve">Coming into disrepute </w:t>
      </w:r>
      <w:r>
        <w:t xml:space="preserve">means to lose previous good public or community reputation through actions, speech or associations that are unlawful or criminal, or are widely regarded as reprehensible, unethical, or highly inappropriate. A person may come into disrepute through actions, speech or associations connected with their public or private lives. </w:t>
      </w:r>
    </w:p>
    <w:p w14:paraId="15314663" w14:textId="77777777" w:rsidR="00B0087B" w:rsidRDefault="00F857FF" w:rsidP="0066581B">
      <w:pPr>
        <w:pStyle w:val="MPLNoNumberingHeadings"/>
      </w:pPr>
      <w:r>
        <w:t xml:space="preserve">POLICY APPROVER </w:t>
      </w:r>
    </w:p>
    <w:p w14:paraId="1E660933" w14:textId="77777777" w:rsidR="00B0087B" w:rsidRDefault="00F857FF" w:rsidP="0066581B">
      <w:pPr>
        <w:pStyle w:val="MPLParagraphlevel1"/>
        <w:numPr>
          <w:ilvl w:val="0"/>
          <w:numId w:val="0"/>
        </w:numPr>
      </w:pPr>
      <w:r>
        <w:t xml:space="preserve">Council </w:t>
      </w:r>
    </w:p>
    <w:p w14:paraId="4B7BBD12" w14:textId="77777777" w:rsidR="00B0087B" w:rsidRDefault="00F857FF" w:rsidP="0066581B">
      <w:pPr>
        <w:pStyle w:val="MPLNoNumberingHeadings"/>
      </w:pPr>
      <w:r>
        <w:lastRenderedPageBreak/>
        <w:t xml:space="preserve">POLICY STEWARD </w:t>
      </w:r>
    </w:p>
    <w:p w14:paraId="651149AF" w14:textId="77777777" w:rsidR="00B0087B" w:rsidRDefault="00F857FF" w:rsidP="0066581B">
      <w:pPr>
        <w:pStyle w:val="MPLParagraphlevel1"/>
        <w:numPr>
          <w:ilvl w:val="0"/>
          <w:numId w:val="0"/>
        </w:numPr>
      </w:pPr>
      <w:r>
        <w:t xml:space="preserve">University Secretary </w:t>
      </w:r>
    </w:p>
    <w:p w14:paraId="634498DC" w14:textId="77777777" w:rsidR="00B0087B" w:rsidRDefault="00F857FF" w:rsidP="0066581B">
      <w:pPr>
        <w:pStyle w:val="MPLNoNumberingHeadings"/>
      </w:pPr>
      <w:r>
        <w:t xml:space="preserve">REVIEW </w:t>
      </w:r>
    </w:p>
    <w:p w14:paraId="026F8DB9" w14:textId="6A93E4B8" w:rsidR="00B0087B" w:rsidRDefault="00F857FF" w:rsidP="00AF363F">
      <w:pPr>
        <w:pStyle w:val="MPLParagraphlevel1"/>
        <w:numPr>
          <w:ilvl w:val="0"/>
          <w:numId w:val="0"/>
        </w:numPr>
      </w:pPr>
      <w:r>
        <w:t>This policy is to be reviewed by 13 March 2023.</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Council </w:t>
            </w:r>
          </w:p>
        </w:tc>
        <w:tc>
          <w:tcPr>
            <w:tcW w:type="dxa" w:w="1994"/>
          </w:tcPr>
          <w:p>
            <w:r>
              <w:t xml:space="preserve">9 September 2013 </w:t>
            </w:r>
          </w:p>
        </w:tc>
        <w:tc>
          <w:tcPr>
            <w:tcW w:type="dxa" w:w="1994"/>
          </w:tcPr>
          <w:p>
            <w:r>
              <w:t xml:space="preserve">9 September 2013 </w:t>
            </w:r>
          </w:p>
        </w:tc>
        <w:tc>
          <w:tcPr>
            <w:tcW w:type="dxa" w:w="1994"/>
          </w:tcPr>
          <w:p>
            <w:r/>
          </w:p>
          <w:p>
            <w:r/>
            <w:r/>
            <w:r>
              <w:t xml:space="preserve">N/A </w:t>
            </w:r>
            <w:r/>
            <w:r/>
          </w:p>
        </w:tc>
      </w:tr>
      <w:tr>
        <w:tc>
          <w:tcPr>
            <w:tcW w:type="dxa" w:w="1994"/>
          </w:tcPr>
          <w:p>
            <w:r>
              <w:t xml:space="preserve">2 </w:t>
            </w:r>
          </w:p>
        </w:tc>
        <w:tc>
          <w:tcPr>
            <w:tcW w:type="dxa" w:w="1994"/>
          </w:tcPr>
          <w:p>
            <w:r>
              <w:t xml:space="preserve">Governance and Nominations Committee authorised by Council </w:t>
            </w:r>
          </w:p>
        </w:tc>
        <w:tc>
          <w:tcPr>
            <w:tcW w:type="dxa" w:w="1994"/>
          </w:tcPr>
          <w:p>
            <w:r>
              <w:t xml:space="preserve">23 June 2016 </w:t>
            </w:r>
          </w:p>
        </w:tc>
        <w:tc>
          <w:tcPr>
            <w:tcW w:type="dxa" w:w="1994"/>
          </w:tcPr>
          <w:p>
            <w:r>
              <w:t xml:space="preserve">21 July 2016 </w:t>
            </w:r>
          </w:p>
        </w:tc>
        <w:tc>
          <w:tcPr>
            <w:tcW w:type="dxa" w:w="1994"/>
          </w:tcPr>
          <w:p>
            <w:r/>
          </w:p>
          <w:p>
            <w:r/>
            <w:r/>
            <w:r>
              <w:t xml:space="preserve">New version arising from the Policy Consolidation Project consolidating the University Honours &amp; Recognition Policy (MPF1235) and the University Honours &amp; Recognition Procedure (MPF1255). </w:t>
              <w:br/>
            </w:r>
            <w:r>
              <w:br/>
            </w:r>
            <w:r/>
            <w:r/>
            <w:r/>
          </w:p>
        </w:tc>
      </w:tr>
      <w:tr>
        <w:tc>
          <w:tcPr>
            <w:tcW w:type="dxa" w:w="1994"/>
          </w:tcPr>
          <w:p>
            <w:r>
              <w:t xml:space="preserve">3 </w:t>
            </w:r>
          </w:p>
        </w:tc>
        <w:tc>
          <w:tcPr>
            <w:tcW w:type="dxa" w:w="1994"/>
          </w:tcPr>
          <w:p>
            <w:r>
              <w:t xml:space="preserve">Council </w:t>
            </w:r>
          </w:p>
        </w:tc>
        <w:tc>
          <w:tcPr>
            <w:tcW w:type="dxa" w:w="1994"/>
          </w:tcPr>
          <w:p>
            <w:r>
              <w:t xml:space="preserve">19 April 2017 </w:t>
            </w:r>
          </w:p>
        </w:tc>
        <w:tc>
          <w:tcPr>
            <w:tcW w:type="dxa" w:w="1994"/>
          </w:tcPr>
          <w:p>
            <w:r>
              <w:t xml:space="preserve">14 June 2017 </w:t>
            </w:r>
          </w:p>
        </w:tc>
        <w:tc>
          <w:tcPr>
            <w:tcW w:type="dxa" w:w="1994"/>
          </w:tcPr>
          <w:p>
            <w:r/>
          </w:p>
          <w:p>
            <w:r/>
            <w:r/>
            <w:r>
              <w:t xml:space="preserve">Revisions to include information on the body responsible for recommending honours and recognition to Council and information about the appointment of Patrons of the University. Addition of policy principles 4.2 – 4.4. Addition of procedural Principles 5.1 – 5.16. </w:t>
            </w:r>
            <w:r/>
            <w:r/>
          </w:p>
        </w:tc>
      </w:tr>
      <w:tr>
        <w:tc>
          <w:tcPr>
            <w:tcW w:type="dxa" w:w="1994"/>
          </w:tcPr>
          <w:p>
            <w:r>
              <w:t xml:space="preserve">4 </w:t>
            </w:r>
          </w:p>
        </w:tc>
        <w:tc>
          <w:tcPr>
            <w:tcW w:type="dxa" w:w="1994"/>
          </w:tcPr>
          <w:p>
            <w:r>
              <w:t xml:space="preserve">Created in error </w:t>
            </w:r>
          </w:p>
        </w:tc>
        <w:tc>
          <w:tcPr>
            <w:tcW w:type="dxa" w:w="1994"/>
          </w:tcPr>
          <w:p>
            <w:r/>
          </w:p>
        </w:tc>
        <w:tc>
          <w:tcPr>
            <w:tcW w:type="dxa" w:w="1994"/>
          </w:tcPr>
          <w:p>
            <w:r/>
          </w:p>
        </w:tc>
        <w:tc>
          <w:tcPr>
            <w:tcW w:type="dxa" w:w="1994"/>
          </w:tcPr>
          <w:p>
            <w:r/>
          </w:p>
          <w:p>
            <w:r/>
            <w:r/>
            <w:r/>
            <w:r/>
            <w:r/>
          </w:p>
        </w:tc>
      </w:tr>
      <w:tr>
        <w:tc>
          <w:tcPr>
            <w:tcW w:type="dxa" w:w="1994"/>
          </w:tcPr>
          <w:p>
            <w:r>
              <w:t xml:space="preserve">5 </w:t>
            </w:r>
          </w:p>
        </w:tc>
        <w:tc>
          <w:tcPr>
            <w:tcW w:type="dxa" w:w="1994"/>
          </w:tcPr>
          <w:p>
            <w:r>
              <w:t xml:space="preserve">Council </w:t>
            </w:r>
          </w:p>
        </w:tc>
        <w:tc>
          <w:tcPr>
            <w:tcW w:type="dxa" w:w="1994"/>
          </w:tcPr>
          <w:p>
            <w:r>
              <w:t xml:space="preserve">30 May 2018 </w:t>
            </w:r>
          </w:p>
        </w:tc>
        <w:tc>
          <w:tcPr>
            <w:tcW w:type="dxa" w:w="1994"/>
          </w:tcPr>
          <w:p>
            <w:r>
              <w:t xml:space="preserve">30 May 2018 </w:t>
            </w:r>
          </w:p>
        </w:tc>
        <w:tc>
          <w:tcPr>
            <w:tcW w:type="dxa" w:w="1994"/>
          </w:tcPr>
          <w:p>
            <w:r/>
          </w:p>
          <w:p>
            <w:r/>
            <w:r/>
            <w:r>
              <w:t xml:space="preserve">Removal of (a)- (d) from procedural principle 5.1. </w:t>
            </w:r>
            <w:r/>
            <w:r/>
          </w:p>
        </w:tc>
      </w:tr>
      <w:tr>
        <w:tc>
          <w:tcPr>
            <w:tcW w:type="dxa" w:w="1994"/>
          </w:tcPr>
          <w:p>
            <w:r>
              <w:t xml:space="preserve">6 </w:t>
            </w:r>
          </w:p>
        </w:tc>
        <w:tc>
          <w:tcPr>
            <w:tcW w:type="dxa" w:w="1994"/>
          </w:tcPr>
          <w:p>
            <w:r>
              <w:t xml:space="preserve">created in error </w:t>
            </w:r>
          </w:p>
        </w:tc>
        <w:tc>
          <w:tcPr>
            <w:tcW w:type="dxa" w:w="1994"/>
          </w:tcPr>
          <w:p>
            <w:r/>
          </w:p>
        </w:tc>
        <w:tc>
          <w:tcPr>
            <w:tcW w:type="dxa" w:w="1994"/>
          </w:tcPr>
          <w:p>
            <w:r/>
          </w:p>
        </w:tc>
        <w:tc>
          <w:tcPr>
            <w:tcW w:type="dxa" w:w="1994"/>
          </w:tcPr>
          <w:p>
            <w:r/>
          </w:p>
          <w:p>
            <w:r/>
            <w:r/>
            <w:r>
              <w:br/>
            </w:r>
            <w:r>
              <w:br/>
            </w:r>
            <w:r/>
            <w:r/>
            <w:r/>
          </w:p>
        </w:tc>
      </w:tr>
      <w:tr>
        <w:tc>
          <w:tcPr>
            <w:tcW w:type="dxa" w:w="1994"/>
          </w:tcPr>
          <w:p>
            <w:r>
              <w:t xml:space="preserve">7 </w:t>
            </w:r>
          </w:p>
        </w:tc>
        <w:tc>
          <w:tcPr>
            <w:tcW w:type="dxa" w:w="1994"/>
          </w:tcPr>
          <w:p>
            <w:r>
              <w:t xml:space="preserve">created in error </w:t>
            </w:r>
          </w:p>
        </w:tc>
        <w:tc>
          <w:tcPr>
            <w:tcW w:type="dxa" w:w="1994"/>
          </w:tcPr>
          <w:p>
            <w:r/>
          </w:p>
        </w:tc>
        <w:tc>
          <w:tcPr>
            <w:tcW w:type="dxa" w:w="1994"/>
          </w:tcPr>
          <w:p>
            <w:r/>
          </w:p>
        </w:tc>
        <w:tc>
          <w:tcPr>
            <w:tcW w:type="dxa" w:w="1994"/>
          </w:tcPr>
          <w:p>
            <w:r/>
          </w:p>
          <w:p>
            <w:r/>
            <w:r/>
            <w:r>
              <w:br/>
            </w:r>
            <w:r>
              <w:br/>
            </w:r>
            <w:r/>
            <w:r/>
            <w:r/>
          </w:p>
        </w:tc>
      </w:tr>
      <w:tr>
        <w:tc>
          <w:tcPr>
            <w:tcW w:type="dxa" w:w="1994"/>
          </w:tcPr>
          <w:p>
            <w:r>
              <w:t xml:space="preserve">8 </w:t>
            </w:r>
          </w:p>
        </w:tc>
        <w:tc>
          <w:tcPr>
            <w:tcW w:type="dxa" w:w="1994"/>
          </w:tcPr>
          <w:p>
            <w:r>
              <w:t xml:space="preserve">created in error </w:t>
            </w:r>
          </w:p>
        </w:tc>
        <w:tc>
          <w:tcPr>
            <w:tcW w:type="dxa" w:w="1994"/>
          </w:tcPr>
          <w:p>
            <w:r/>
          </w:p>
        </w:tc>
        <w:tc>
          <w:tcPr>
            <w:tcW w:type="dxa" w:w="1994"/>
          </w:tcPr>
          <w:p>
            <w:r/>
          </w:p>
        </w:tc>
        <w:tc>
          <w:tcPr>
            <w:tcW w:type="dxa" w:w="1994"/>
          </w:tcPr>
          <w:p>
            <w:r/>
          </w:p>
          <w:p>
            <w:r/>
            <w:r/>
            <w:r>
              <w:br/>
            </w:r>
            <w:r>
              <w:br/>
            </w:r>
            <w:r/>
            <w:r/>
            <w:r/>
          </w:p>
        </w:tc>
      </w:tr>
      <w:tr>
        <w:tc>
          <w:tcPr>
            <w:tcW w:type="dxa" w:w="1994"/>
          </w:tcPr>
          <w:p>
            <w:r>
              <w:t xml:space="preserve">10 </w:t>
            </w:r>
          </w:p>
        </w:tc>
        <w:tc>
          <w:tcPr>
            <w:tcW w:type="dxa" w:w="1994"/>
          </w:tcPr>
          <w:p>
            <w:r>
              <w:t xml:space="preserve">University Secretary </w:t>
            </w:r>
          </w:p>
        </w:tc>
        <w:tc>
          <w:tcPr>
            <w:tcW w:type="dxa" w:w="1994"/>
          </w:tcPr>
          <w:p>
            <w:r>
              <w:t xml:space="preserve">22 October 2018 </w:t>
            </w:r>
          </w:p>
        </w:tc>
        <w:tc>
          <w:tcPr>
            <w:tcW w:type="dxa" w:w="1994"/>
          </w:tcPr>
          <w:p>
            <w:r>
              <w:t xml:space="preserve">1 February 2019 </w:t>
            </w:r>
          </w:p>
        </w:tc>
        <w:tc>
          <w:tcPr>
            <w:tcW w:type="dxa" w:w="1994"/>
          </w:tcPr>
          <w:p>
            <w:r/>
          </w:p>
          <w:p>
            <w:r/>
            <w:r/>
            <w:r>
              <w:t xml:space="preserve">Editorial amendment formatted 4.1 (c) </w:t>
            </w:r>
            <w:r/>
            <w:r/>
          </w:p>
        </w:tc>
      </w:tr>
      <w:tr>
        <w:tc>
          <w:tcPr>
            <w:tcW w:type="dxa" w:w="1994"/>
          </w:tcPr>
          <w:p>
            <w:r>
              <w:t xml:space="preserve">11 </w:t>
            </w:r>
          </w:p>
        </w:tc>
        <w:tc>
          <w:tcPr>
            <w:tcW w:type="dxa" w:w="1994"/>
          </w:tcPr>
          <w:p>
            <w:r>
              <w:t xml:space="preserve">Council </w:t>
            </w:r>
          </w:p>
        </w:tc>
        <w:tc>
          <w:tcPr>
            <w:tcW w:type="dxa" w:w="1994"/>
          </w:tcPr>
          <w:p>
            <w:r>
              <w:t xml:space="preserve">13 March 2020 </w:t>
            </w:r>
          </w:p>
        </w:tc>
        <w:tc>
          <w:tcPr>
            <w:tcW w:type="dxa" w:w="1994"/>
          </w:tcPr>
          <w:p>
            <w:r>
              <w:t xml:space="preserve">13 March 2020 </w:t>
            </w:r>
          </w:p>
        </w:tc>
        <w:tc>
          <w:tcPr>
            <w:tcW w:type="dxa" w:w="1994"/>
          </w:tcPr>
          <w:p>
            <w:r/>
          </w:p>
          <w:p>
            <w:r/>
            <w:r/>
            <w:r>
              <w:t xml:space="preserve">Major revision of policy. Amended all sections except section 3. </w:t>
            </w:r>
            <w:r/>
            <w:r/>
          </w:p>
        </w:tc>
      </w:tr>
      <w:tr>
        <w:tc>
          <w:tcPr>
            <w:tcW w:type="dxa" w:w="1994"/>
          </w:tcPr>
          <w:p>
            <w:r>
              <w:t xml:space="preserve">12 </w:t>
            </w:r>
          </w:p>
        </w:tc>
        <w:tc>
          <w:tcPr>
            <w:tcW w:type="dxa" w:w="1994"/>
          </w:tcPr>
          <w:p>
            <w:r>
              <w:t xml:space="preserve">Council </w:t>
            </w:r>
          </w:p>
        </w:tc>
        <w:tc>
          <w:tcPr>
            <w:tcW w:type="dxa" w:w="1994"/>
          </w:tcPr>
          <w:p>
            <w:r>
              <w:t xml:space="preserve">9 December 2020 </w:t>
            </w:r>
          </w:p>
        </w:tc>
        <w:tc>
          <w:tcPr>
            <w:tcW w:type="dxa" w:w="1994"/>
          </w:tcPr>
          <w:p>
            <w:r>
              <w:t xml:space="preserve">18 January 2021 </w:t>
            </w:r>
          </w:p>
        </w:tc>
        <w:tc>
          <w:tcPr>
            <w:tcW w:type="dxa" w:w="1994"/>
          </w:tcPr>
          <w:p>
            <w:r/>
          </w:p>
          <w:p>
            <w:r/>
            <w:r/>
            <w:r>
              <w:t xml:space="preserve">Revised policy. Amended all sections except sections 1, 4.6, 5.4 – 5.7, 5.8 - 5.10. Inserted new Schedule 1. </w:t>
            </w:r>
            <w:r/>
            <w:r/>
          </w:p>
        </w:tc>
      </w:tr>
      <w:tr>
        <w:tc>
          <w:tcPr>
            <w:tcW w:type="dxa" w:w="1994"/>
          </w:tcPr>
          <w:p>
            <w:r>
              <w:t xml:space="preserve">13 </w:t>
            </w:r>
          </w:p>
        </w:tc>
        <w:tc>
          <w:tcPr>
            <w:tcW w:type="dxa" w:w="1994"/>
          </w:tcPr>
          <w:p>
            <w:r>
              <w:t xml:space="preserve">University Secretary </w:t>
            </w:r>
          </w:p>
        </w:tc>
        <w:tc>
          <w:tcPr>
            <w:tcW w:type="dxa" w:w="1994"/>
          </w:tcPr>
          <w:p>
            <w:r>
              <w:t xml:space="preserve">4 October 2021 </w:t>
            </w:r>
          </w:p>
        </w:tc>
        <w:tc>
          <w:tcPr>
            <w:tcW w:type="dxa" w:w="1994"/>
          </w:tcPr>
          <w:p>
            <w:r>
              <w:t xml:space="preserve">27 October 2021 </w:t>
            </w:r>
          </w:p>
        </w:tc>
        <w:tc>
          <w:tcPr>
            <w:tcW w:type="dxa" w:w="1994"/>
          </w:tcPr>
          <w:p>
            <w:r/>
          </w:p>
          <w:p>
            <w:r/>
            <w:r/>
            <w:r>
              <w:t xml:space="preserve">Amendment to Schedule 1. </w:t>
            </w:r>
            <w:r/>
            <w:r/>
          </w:p>
        </w:tc>
      </w:tr>
      <w:tr>
        <w:tc>
          <w:tcPr>
            <w:tcW w:type="dxa" w:w="1994"/>
          </w:tcPr>
          <w:p>
            <w:r>
              <w:t xml:space="preserve">14 </w:t>
            </w:r>
          </w:p>
        </w:tc>
        <w:tc>
          <w:tcPr>
            <w:tcW w:type="dxa" w:w="1994"/>
          </w:tcPr>
          <w:p>
            <w:r>
              <w:t xml:space="preserve">Council </w:t>
            </w:r>
          </w:p>
        </w:tc>
        <w:tc>
          <w:tcPr>
            <w:tcW w:type="dxa" w:w="1994"/>
          </w:tcPr>
          <w:p>
            <w:r>
              <w:t xml:space="preserve">15 March 2023 </w:t>
            </w:r>
          </w:p>
        </w:tc>
        <w:tc>
          <w:tcPr>
            <w:tcW w:type="dxa" w:w="1994"/>
          </w:tcPr>
          <w:p>
            <w:r>
              <w:t xml:space="preserve">31 March 2023 </w:t>
            </w:r>
          </w:p>
        </w:tc>
        <w:tc>
          <w:tcPr>
            <w:tcW w:type="dxa" w:w="1994"/>
          </w:tcPr>
          <w:p>
            <w:r/>
          </w:p>
          <w:p>
            <w:r/>
            <w:r/>
            <w:r>
              <w:t xml:space="preserve">Amendment to 4.1(b). </w:t>
            </w:r>
            <w:r/>
            <w:r/>
          </w:p>
        </w:tc>
      </w:tr>
      <w:tr>
        <w:tc>
          <w:tcPr>
            <w:tcW w:type="dxa" w:w="1994"/>
          </w:tcPr>
          <w:p>
            <w:r>
              <w:t xml:space="preserve">15 </w:t>
            </w:r>
          </w:p>
        </w:tc>
        <w:tc>
          <w:tcPr>
            <w:tcW w:type="dxa" w:w="1994"/>
          </w:tcPr>
          <w:p>
            <w:r>
              <w:t xml:space="preserve">Policy Officer </w:t>
            </w:r>
          </w:p>
        </w:tc>
        <w:tc>
          <w:tcPr>
            <w:tcW w:type="dxa" w:w="1994"/>
          </w:tcPr>
          <w:p>
            <w:r>
              <w:t xml:space="preserve">7 February 2024 </w:t>
            </w:r>
          </w:p>
        </w:tc>
        <w:tc>
          <w:tcPr>
            <w:tcW w:type="dxa" w:w="1994"/>
          </w:tcPr>
          <w:p>
            <w:r>
              <w:t xml:space="preserve">7 February 2024 </w:t>
            </w:r>
          </w:p>
        </w:tc>
        <w:tc>
          <w:tcPr>
            <w:tcW w:type="dxa" w:w="1994"/>
          </w:tcPr>
          <w:p>
            <w:r/>
          </w:p>
          <w:p>
            <w:r/>
            <w:r>
              <w:t xml:space="preserve">Editorial change to fix broken links. </w:t>
            </w:r>
            <w:r/>
          </w:p>
        </w:tc>
      </w:tr>
    </w:tbl>
    <w:p>
      <w:r/>
    </w:p>
    <w:sectPr w:rsidR="00B0087B" w:rsidSect="002B3BF4">
      <w:footerReference w:type="default" r:id="rId24"/>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58B0" w14:textId="77777777" w:rsidR="002B3BF4" w:rsidRDefault="002B3BF4">
      <w:pPr>
        <w:spacing w:after="0" w:line="240" w:lineRule="auto"/>
      </w:pPr>
      <w:r>
        <w:separator/>
      </w:r>
    </w:p>
  </w:endnote>
  <w:endnote w:type="continuationSeparator" w:id="0">
    <w:p w14:paraId="38B37C59" w14:textId="77777777" w:rsidR="002B3BF4" w:rsidRDefault="002B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E685" w14:textId="77777777" w:rsidR="00B0087B" w:rsidRDefault="00F857FF">
    <w:pPr>
      <w:pStyle w:val="Footer"/>
      <w:jc w:val="right"/>
    </w:pPr>
    <w:r>
      <w:t xml:space="preserve">Page </w:t>
    </w:r>
    <w:r>
      <w:fldChar w:fldCharType="begin"/>
    </w:r>
    <w:r>
      <w:instrText>PAGE</w:instrText>
    </w:r>
    <w:r>
      <w:fldChar w:fldCharType="separate"/>
    </w:r>
    <w:r w:rsidR="006124FF">
      <w:rPr>
        <w:noProof/>
      </w:rPr>
      <w:t>1</w:t>
    </w:r>
    <w:r>
      <w:fldChar w:fldCharType="end"/>
    </w:r>
    <w:r>
      <w:t xml:space="preserve"> of </w:t>
    </w:r>
    <w:r>
      <w:fldChar w:fldCharType="begin"/>
    </w:r>
    <w:r>
      <w:instrText>NUMPAGES</w:instrText>
    </w:r>
    <w:r>
      <w:fldChar w:fldCharType="separate"/>
    </w:r>
    <w:r w:rsidR="006124F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174F" w14:textId="77777777" w:rsidR="002B3BF4" w:rsidRDefault="002B3BF4">
      <w:pPr>
        <w:spacing w:after="0" w:line="240" w:lineRule="auto"/>
      </w:pPr>
      <w:r>
        <w:separator/>
      </w:r>
    </w:p>
  </w:footnote>
  <w:footnote w:type="continuationSeparator" w:id="0">
    <w:p w14:paraId="27E81B42" w14:textId="77777777" w:rsidR="002B3BF4" w:rsidRDefault="002B3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60600128">
    <w:abstractNumId w:val="8"/>
  </w:num>
  <w:num w:numId="2" w16cid:durableId="2030596931">
    <w:abstractNumId w:val="6"/>
  </w:num>
  <w:num w:numId="3" w16cid:durableId="1728797888">
    <w:abstractNumId w:val="5"/>
  </w:num>
  <w:num w:numId="4" w16cid:durableId="650597660">
    <w:abstractNumId w:val="4"/>
  </w:num>
  <w:num w:numId="5" w16cid:durableId="718674241">
    <w:abstractNumId w:val="7"/>
  </w:num>
  <w:num w:numId="6" w16cid:durableId="1912346083">
    <w:abstractNumId w:val="3"/>
  </w:num>
  <w:num w:numId="7" w16cid:durableId="1166552016">
    <w:abstractNumId w:val="2"/>
  </w:num>
  <w:num w:numId="8" w16cid:durableId="1549680397">
    <w:abstractNumId w:val="1"/>
  </w:num>
  <w:num w:numId="9" w16cid:durableId="1096247657">
    <w:abstractNumId w:val="0"/>
  </w:num>
  <w:num w:numId="10" w16cid:durableId="534347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B24"/>
    <w:rsid w:val="0015074B"/>
    <w:rsid w:val="0018452F"/>
    <w:rsid w:val="0029639D"/>
    <w:rsid w:val="002B3BF4"/>
    <w:rsid w:val="00326F90"/>
    <w:rsid w:val="006124FF"/>
    <w:rsid w:val="0066581B"/>
    <w:rsid w:val="00AA1D8D"/>
    <w:rsid w:val="00AF363F"/>
    <w:rsid w:val="00B0087B"/>
    <w:rsid w:val="00B47730"/>
    <w:rsid w:val="00B73B0A"/>
    <w:rsid w:val="00CB0664"/>
    <w:rsid w:val="00DA33A2"/>
    <w:rsid w:val="00F857F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43DD8"/>
  <w14:defaultImageDpi w14:val="300"/>
  <w15:docId w15:val="{24AD13F0-FCB7-4578-9232-D919BCBD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F857FF"/>
    <w:pPr>
      <w:spacing w:after="0" w:line="240" w:lineRule="auto"/>
    </w:pPr>
    <w:rPr>
      <w:rFonts w:ascii="Arial" w:hAnsi="Arial"/>
      <w:sz w:val="20"/>
    </w:rPr>
  </w:style>
  <w:style w:type="character" w:styleId="Hyperlink">
    <w:name w:val="Hyperlink"/>
    <w:aliases w:val="MPL - Hyperlink"/>
    <w:basedOn w:val="DefaultParagraphFont"/>
    <w:uiPriority w:val="99"/>
    <w:unhideWhenUsed/>
    <w:qFormat/>
    <w:rsid w:val="0066581B"/>
    <w:rPr>
      <w:color w:val="0000FF" w:themeColor="hyperlink"/>
      <w:u w:val="single"/>
    </w:rPr>
  </w:style>
  <w:style w:type="paragraph" w:customStyle="1" w:styleId="MPLParagraphlevel1">
    <w:name w:val="MPL Paragraph level 1"/>
    <w:basedOn w:val="ListParagraph"/>
    <w:qFormat/>
    <w:rsid w:val="0066581B"/>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66581B"/>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66581B"/>
    <w:pPr>
      <w:numPr>
        <w:ilvl w:val="2"/>
        <w:numId w:val="10"/>
      </w:numPr>
    </w:pPr>
    <w:rPr>
      <w:rFonts w:cs="Arial" w:asciiTheme="Source Sans Pro"/>
      <w:sz w:val="20"/>
    </w:rPr>
  </w:style>
  <w:style w:type="paragraph" w:customStyle="1" w:styleId="MPLParagraphlevel3">
    <w:name w:val="MPL Paragraph level 3"/>
    <w:basedOn w:val="ListParagraph"/>
    <w:qFormat/>
    <w:rsid w:val="0066581B"/>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66581B"/>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66581B"/>
    <w:pPr>
      <w:spacing w:afterLines="50" w:after="120"/>
    </w:pPr>
    <w:rPr>
      <w:rFonts w:hAnsi="Source Sans Pro" w:cs="Arial" w:asciiTheme="Source Sans Pro"/>
      <w:color w:val="000F46"/>
      <w:sz w:val="28"/>
    </w:rPr>
  </w:style>
  <w:style w:type="paragraph" w:customStyle="1" w:styleId="MPLParapgrah">
    <w:name w:val="MPL Parapgrah"/>
    <w:basedOn w:val="Normal"/>
    <w:qFormat/>
    <w:rsid w:val="0066581B"/>
    <w:rPr>
      <w:rFonts w:cs="Arial"/>
      <w:lang w:val="en-AU"/>
    </w:rPr>
  </w:style>
  <w:style w:type="paragraph" w:customStyle="1" w:styleId="MPLNoNumberingHeadings">
    <w:name w:val="MPL No Numbering Headings"/>
    <w:basedOn w:val="Heading2"/>
    <w:qFormat/>
    <w:rsid w:val="0066581B"/>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66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MPF1062" TargetMode="External"/><Relationship Id="rId13" Type="http://schemas.openxmlformats.org/officeDocument/2006/relationships/hyperlink" Target="https://about.unimelb.edu.au/strategy/governance/regulatory-framework/legislative-framework" TargetMode="External"/><Relationship Id="rId18" Type="http://schemas.openxmlformats.org/officeDocument/2006/relationships/hyperlink" Target="https://au.promapp.com/unimelb/Process/Group/09a2870b-2b60-4714-8341-af673c25f1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promapp.com/unimelb/Process/Group/09a2870b-2b60-4714-8341-af673c25f13d" TargetMode="External"/><Relationship Id="rId7" Type="http://schemas.openxmlformats.org/officeDocument/2006/relationships/endnotes" Target="endnote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hyperlink" Target="file:///MPF11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bout.unimelb.edu.au/strategy/governance/peak-bodies-structures/university-executive/terms-of-reference" TargetMode="External"/><Relationship Id="rId20" Type="http://schemas.openxmlformats.org/officeDocument/2006/relationships/hyperlink" Target="https://au.promapp.com/unimelb/Process/Group/09a2870b-2b60-4714-8341-af673c25f1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strategy/governance/regulatory-framework/legislative-framewor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bout.unimelb.edu.au/__data/assets/pdf_file/0015/320613/Schedule-1-University-Honours-and-Recognition-Policy.pdf" TargetMode="External"/><Relationship Id="rId23" Type="http://schemas.openxmlformats.org/officeDocument/2006/relationships/hyperlink" Target="https://au.promapp.com/unimelb/Process/Group/09a2870b-2b60-4714-8341-af673c25f13d" TargetMode="External"/><Relationship Id="rId10" Type="http://schemas.openxmlformats.org/officeDocument/2006/relationships/hyperlink" Target="https://about.unimelb.edu.au/strategy/governance/regulatory-framework/legislative-framework" TargetMode="External"/><Relationship Id="rId19" Type="http://schemas.openxmlformats.org/officeDocument/2006/relationships/hyperlink" Target="https://au.promapp.com/unimelb/Process/Group/09a2870b-2b60-4714-8341-af673c25f13d" TargetMode="External"/><Relationship Id="rId4" Type="http://schemas.openxmlformats.org/officeDocument/2006/relationships/settings" Target="settings.xml"/><Relationship Id="rId9" Type="http://schemas.openxmlformats.org/officeDocument/2006/relationships/hyperlink" Target="file:///MPF1201" TargetMode="External"/><Relationship Id="rId14" Type="http://schemas.openxmlformats.org/officeDocument/2006/relationships/hyperlink" Target="https://about.unimelb.edu.au/__data/assets/pdf_file/0015/320613/Schedule-1-University-Honours-and-Recognition-Policy.pdf" TargetMode="External"/><Relationship Id="rId22" Type="http://schemas.openxmlformats.org/officeDocument/2006/relationships/hyperlink" Target="https://au.promapp.com/unimelb/Process/Group/09a2870b-2b60-4714-8341-af673c25f13d" TargetMode="External"/><Relationship Id="rId27" Type="http://schemas.openxmlformats.org/officeDocument/2006/relationships/hyperlink" Target="https://policy.unimelb.edu.au/categor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2023-03-31T06:04:00Z</dcterms:created>
  <dcterms:modified xsi:type="dcterms:W3CDTF">2024-02-06T23:26:00Z</dcterms:modified>
  <cp:category/>
</cp:coreProperties>
</file>