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Academic Freedom of Expression Policy (MPF1224)</w:t>
      </w:r>
    </w:p>
    <w:p>
      <w:r/>
    </w:p>
    <w:p>
      <w:r>
        <w:rPr>
          <w:rFonts w:ascii="Source Sans Pro" w:hAnsi="Source Sans Pro"/>
          <w:b/>
          <w:sz w:val="20"/>
        </w:rPr>
        <w:t xml:space="preserve">Category: </w:t>
      </w:r>
      <w:r/>
      <w:hyperlink r:id="rId12">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07 November, 2021</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08 November, 2021</w:t>
        <w:br/>
      </w:r>
      <w:r>
        <w:rPr>
          <w:rFonts w:ascii="Source Sans Pro" w:hAnsi="Source Sans Pro"/>
          <w:b/>
          <w:sz w:val="20"/>
        </w:rPr>
        <w:t xml:space="preserve">Review due by: </w:t>
      </w:r>
      <w:r>
        <w:rPr>
          <w:rFonts w:ascii="Source Sans Pro" w:hAnsi="Source Sans Pro"/>
          <w:sz w:val="20"/>
        </w:rPr>
        <w:t>31 December, 2022</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hyperlink r:id="rId13">
        <w:r>
          <w:rPr>
            <w:color w:val="0000FF"/>
            <w:u w:val="single"/>
          </w:rPr>
          <w:t>Research and Research Training Processes</w:t>
        </w:r>
      </w:hyperlink>
      <w:r/>
      <w:r>
        <w:t xml:space="preserve">, </w:t>
      </w:r>
      <w:hyperlink r:id="rId14">
        <w:r>
          <w:rPr>
            <w:color w:val="0000FF"/>
            <w:u w:val="single"/>
          </w:rPr>
          <w:t>Guidelines for the Appropriate Exercise of Freedom of Speech</w:t>
        </w:r>
      </w:hyperlink>
      <w:r/>
      <w:r>
        <w:br/>
      </w:r>
    </w:p>
    <w:p>
      <w:r/>
      <w:r/>
      <w:r/>
      <w:r/>
      <w:r/>
      <w:r/>
    </w:p>
    <w:p>
      <w:pPr>
        <w:pStyle w:val="Heading2"/>
      </w:pPr>
      <w:r/>
      <w:r/>
      <w:r/>
      <w:r>
        <w:t xml:space="preserve">1. Objective </w:t>
      </w:r>
      <w:r/>
      <w:r/>
      <w:r/>
      <w:r/>
      <w:r/>
    </w:p>
    <w:p>
      <w:r/>
      <w:r>
        <w:t xml:space="preserve">The objectives of this policy are to elucidate the: </w:t>
      </w:r>
      <w:r/>
    </w:p>
    <w:p>
      <w:r/>
      <w:r>
        <w:t xml:space="preserve">(a) right to academic freedom of expression; and </w:t>
      </w:r>
      <w:r/>
    </w:p>
    <w:p>
      <w:r/>
      <w:r>
        <w:t xml:space="preserve">(b) responsibilities of scholars in exercising academic freedom of expression. </w:t>
      </w:r>
      <w:r/>
      <w:r/>
      <w:r/>
      <w:r/>
      <w:r/>
      <w:r/>
    </w:p>
    <w:p>
      <w:pPr>
        <w:pStyle w:val="Heading2"/>
      </w:pPr>
      <w:r/>
      <w:r/>
      <w:r/>
      <w:r>
        <w:t xml:space="preserve">2. Scope </w:t>
      </w:r>
      <w:r/>
      <w:r/>
      <w:r/>
      <w:r/>
      <w:r/>
    </w:p>
    <w:p>
      <w:r/>
      <w:r>
        <w:t xml:space="preserve">This policy applies across the University.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Council Regulation </w:t>
        </w:r>
      </w:hyperlink>
      <w:r>
        <w:t xml:space="preserve">. </w:t>
      </w:r>
      <w:r/>
      <w:r/>
      <w:r/>
      <w:r/>
      <w:r/>
      <w:r/>
    </w:p>
    <w:p>
      <w:pPr>
        <w:pStyle w:val="Heading2"/>
      </w:pPr>
      <w:r/>
      <w:r/>
      <w:r/>
      <w:r>
        <w:t xml:space="preserve">4. Policy </w:t>
      </w:r>
      <w:r/>
      <w:r/>
      <w:r/>
      <w:r/>
      <w:r/>
      <w:r/>
      <w:r/>
      <w:r/>
      <w:r/>
      <w:r/>
    </w:p>
    <w:p>
      <w:pPr>
        <w:pStyle w:val="Heading3"/>
      </w:pPr>
      <w:r/>
      <w:r/>
      <w:r/>
      <w:r>
        <w:t xml:space="preserve">Right to academic freedom of expression </w:t>
      </w:r>
      <w:r/>
      <w:r/>
      <w:r/>
      <w:r/>
      <w:r/>
    </w:p>
    <w:p>
      <w:r/>
      <w:r>
        <w:t xml:space="preserve">4.1. A core value of the University of Melbourne is to preserve, defend and promote the traditional principles of academic freedom in the conduct of its affairs, so that all scholars at the University are free to engage in critical enquiry, scholarly endeavour and public discourse without fear or favour. </w:t>
      </w:r>
      <w:r/>
    </w:p>
    <w:p>
      <w:r/>
      <w:r>
        <w:t xml:space="preserve">4.2. Accordingly, the University supports the right of all scholars at the University to search for truth, and to hold and express diverse opinions. It recognises that scholarly debate should be robust and uninhibited. It recognises also that scholars are entitled to express their ideas and opinions even when doing so may cause offence. These principles apply to all activities in which scholars express their views both inside and outside the University. </w:t>
      </w:r>
      <w:r/>
    </w:p>
    <w:p>
      <w:r/>
      <w:r>
        <w:t xml:space="preserve">4.3. The liberty to speak freely extends to making statements on political matters, including policies affecting higher education, and to criticism of the University and its actions. </w:t>
      </w:r>
      <w:r/>
    </w:p>
    <w:p>
      <w:r/>
      <w:r>
        <w:t xml:space="preserve">4.4. Scholars at the University should expect to be able to exercise academic freedom of expression and not be disadvantaged or subjected to less favourable treatment by the University for doing so. </w:t>
      </w:r>
      <w:r>
        <w:rPr>
          <w:b/>
        </w:rPr>
      </w:r>
      <w:r/>
      <w:r/>
      <w:r/>
      <w:r/>
      <w:r/>
      <w:r/>
      <w:r/>
    </w:p>
    <w:p>
      <w:pPr>
        <w:pStyle w:val="Heading3"/>
      </w:pPr>
      <w:r/>
      <w:r/>
      <w:r/>
      <w:r>
        <w:t xml:space="preserve">Responsibilities of scholars in exercising academic freedom of expression </w:t>
      </w:r>
      <w:r/>
      <w:r/>
      <w:r/>
      <w:r/>
      <w:r/>
    </w:p>
    <w:p>
      <w:r/>
      <w:r>
        <w:t xml:space="preserve">4.5. Like all rights, the right to academic freedom of expression carries responsibilities. Scholars may hold their own views and speak freely on all topics, even outside their expertise, and even identifying themselves as members of the University. However, if they speak in public on topics outside their expertise, they should consider whether it is reasonable in the circumstances to link their comments to their association with the University. </w:t>
      </w:r>
      <w:r/>
    </w:p>
    <w:p>
      <w:r/>
      <w:r>
        <w:t xml:space="preserve">4.6. Academic freedom of expression is subject to the following principles: </w:t>
      </w:r>
      <w:r/>
    </w:p>
    <w:p>
      <w:r/>
      <w:r>
        <w:t xml:space="preserve">(a) all discourse must be undertaken reasonably and in good faith; and </w:t>
      </w:r>
      <w:r/>
    </w:p>
    <w:p>
      <w:r/>
      <w:r>
        <w:t xml:space="preserve">(b) all discourse should accord with principles of academic and research ethics, where applicable. For example, reasons should be given for an argument so that those who wish to respond have a basis to do so and speakers may need to state affiliations (including speciality), sources, funding and potential conflicts of interest. The University recognises that these principles may vary according to the context in which the discourse occurs. </w:t>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Academic Secretary </w:t>
      </w:r>
      <w:r/>
      <w:r/>
      <w:r/>
      <w:r/>
      <w:r/>
      <w:r/>
    </w:p>
    <w:p>
      <w:pPr>
        <w:pStyle w:val="Heading2"/>
      </w:pPr>
      <w:r/>
      <w:r/>
      <w:r/>
      <w:r>
        <w:t xml:space="preserve">REVIEW </w:t>
      </w:r>
      <w:r/>
      <w:r/>
      <w:r/>
      <w:r/>
      <w:r/>
    </w:p>
    <w:p>
      <w:r/>
      <w:r>
        <w:t xml:space="preserve">This policy is to be reviewed by 31 December 2022.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t xml:space="preserve">Version </w:t>
            </w:r>
            <w:r/>
          </w:p>
        </w:tc>
        <w:tc>
          <w:tcPr>
            <w:tcW w:type="dxa" w:w="1728"/>
          </w:tcPr>
          <w:p>
            <w:r/>
          </w:p>
          <w:p>
            <w:r/>
            <w:r>
              <w:t xml:space="preserve">Approved By </w:t>
            </w:r>
            <w:r/>
          </w:p>
        </w:tc>
        <w:tc>
          <w:tcPr>
            <w:tcW w:type="dxa" w:w="1728"/>
          </w:tcPr>
          <w:p>
            <w:r/>
          </w:p>
          <w:p>
            <w:r/>
            <w:r>
              <w:t xml:space="preserve">Approval Date </w:t>
            </w:r>
            <w:r/>
          </w:p>
        </w:tc>
        <w:tc>
          <w:tcPr>
            <w:tcW w:type="dxa" w:w="1728"/>
          </w:tcPr>
          <w:p>
            <w:r/>
          </w:p>
          <w:p>
            <w:r/>
            <w:r>
              <w:t xml:space="preserve">Effective Date </w:t>
            </w:r>
            <w:r/>
          </w:p>
        </w:tc>
        <w:tc>
          <w:tcPr>
            <w:tcW w:type="dxa" w:w="1728"/>
          </w:tcPr>
          <w:p>
            <w:r/>
          </w:p>
          <w:p>
            <w:r/>
            <w:r>
              <w:t xml:space="preserve">Sections Modified </w:t>
            </w:r>
            <w:r/>
          </w:p>
        </w:tc>
      </w:tr>
      <w:tr>
        <w:tc>
          <w:tcPr>
            <w:tcW w:type="dxa" w:w="1728"/>
          </w:tcPr>
          <w:p>
            <w:r/>
          </w:p>
          <w:p>
            <w:r/>
            <w:r>
              <w:t xml:space="preserve">1 </w:t>
            </w:r>
            <w:r/>
          </w:p>
        </w:tc>
        <w:tc>
          <w:tcPr>
            <w:tcW w:type="dxa" w:w="1728"/>
          </w:tcPr>
          <w:p>
            <w:r/>
          </w:p>
          <w:p>
            <w:r/>
            <w:r>
              <w:t xml:space="preserve">Council </w:t>
            </w:r>
            <w:r/>
          </w:p>
          <w:p>
            <w:r/>
            <w:r>
              <w:t xml:space="preserve">President Academic Board (authorised by Academic Board) </w:t>
            </w:r>
            <w:r/>
          </w:p>
        </w:tc>
        <w:tc>
          <w:tcPr>
            <w:tcW w:type="dxa" w:w="1728"/>
          </w:tcPr>
          <w:p>
            <w:r>
              <w:t xml:space="preserve">08 October 2012 </w:t>
            </w:r>
          </w:p>
        </w:tc>
        <w:tc>
          <w:tcPr>
            <w:tcW w:type="dxa" w:w="1728"/>
          </w:tcPr>
          <w:p>
            <w:r>
              <w:t xml:space="preserve">08 October 2012 </w:t>
            </w:r>
          </w:p>
        </w:tc>
        <w:tc>
          <w:tcPr>
            <w:tcW w:type="dxa" w:w="1728"/>
          </w:tcPr>
          <w:p>
            <w:r/>
          </w:p>
          <w:p>
            <w:r/>
            <w:r>
              <w:t xml:space="preserve">Previously Standing Resolution of Council. </w:t>
            </w:r>
            <w:r/>
          </w:p>
          <w:p>
            <w:r/>
            <w:r>
              <w:t xml:space="preserve">New version arising from the Policy Simplification Project. Loaded into MPL as Version 1. </w:t>
            </w:r>
            <w:r/>
          </w:p>
        </w:tc>
      </w:tr>
      <w:tr>
        <w:tc>
          <w:tcPr>
            <w:tcW w:type="dxa" w:w="1728"/>
          </w:tcPr>
          <w:p>
            <w:r>
              <w:t xml:space="preserve">2 </w:t>
            </w:r>
          </w:p>
        </w:tc>
        <w:tc>
          <w:tcPr>
            <w:tcW w:type="dxa" w:w="1728"/>
          </w:tcPr>
          <w:p>
            <w:r>
              <w:t xml:space="preserve">- </w:t>
            </w:r>
          </w:p>
        </w:tc>
        <w:tc>
          <w:tcPr>
            <w:tcW w:type="dxa" w:w="1728"/>
          </w:tcPr>
          <w:p>
            <w:r>
              <w:t xml:space="preserve">-- </w:t>
            </w:r>
          </w:p>
        </w:tc>
        <w:tc>
          <w:tcPr>
            <w:tcW w:type="dxa" w:w="1728"/>
          </w:tcPr>
          <w:p>
            <w:r>
              <w:br/>
            </w:r>
            <w:r/>
          </w:p>
        </w:tc>
        <w:tc>
          <w:tcPr>
            <w:tcW w:type="dxa" w:w="1728"/>
          </w:tcPr>
          <w:p>
            <w:r>
              <w:t xml:space="preserve">Version 2 made in error. </w:t>
            </w:r>
          </w:p>
        </w:tc>
      </w:tr>
      <w:tr>
        <w:tc>
          <w:tcPr>
            <w:tcW w:type="dxa" w:w="1728"/>
          </w:tcPr>
          <w:p>
            <w:r>
              <w:t xml:space="preserve">3 </w:t>
            </w:r>
          </w:p>
        </w:tc>
        <w:tc>
          <w:tcPr>
            <w:tcW w:type="dxa" w:w="1728"/>
          </w:tcPr>
          <w:p>
            <w:r>
              <w:t xml:space="preserve">Council </w:t>
            </w:r>
          </w:p>
        </w:tc>
        <w:tc>
          <w:tcPr>
            <w:tcW w:type="dxa" w:w="1728"/>
          </w:tcPr>
          <w:p>
            <w:r>
              <w:t xml:space="preserve">16 March 2016 </w:t>
            </w:r>
          </w:p>
        </w:tc>
        <w:tc>
          <w:tcPr>
            <w:tcW w:type="dxa" w:w="1728"/>
          </w:tcPr>
          <w:p>
            <w:r>
              <w:t xml:space="preserve">21 July 2016 </w:t>
            </w:r>
          </w:p>
        </w:tc>
        <w:tc>
          <w:tcPr>
            <w:tcW w:type="dxa" w:w="1728"/>
          </w:tcPr>
          <w:p>
            <w:r>
              <w:t xml:space="preserve">New version arising from policy consolidation project. </w:t>
            </w:r>
          </w:p>
        </w:tc>
      </w:tr>
      <w:tr>
        <w:tc>
          <w:tcPr>
            <w:tcW w:type="dxa" w:w="1728"/>
          </w:tcPr>
          <w:p>
            <w:r>
              <w:t xml:space="preserve">4 </w:t>
            </w:r>
          </w:p>
        </w:tc>
        <w:tc>
          <w:tcPr>
            <w:tcW w:type="dxa" w:w="1728"/>
          </w:tcPr>
          <w:p>
            <w:r>
              <w:t xml:space="preserve">Council </w:t>
            </w:r>
          </w:p>
        </w:tc>
        <w:tc>
          <w:tcPr>
            <w:tcW w:type="dxa" w:w="1728"/>
          </w:tcPr>
          <w:p>
            <w:r>
              <w:t xml:space="preserve">30 May 2018 </w:t>
            </w:r>
          </w:p>
        </w:tc>
        <w:tc>
          <w:tcPr>
            <w:tcW w:type="dxa" w:w="1728"/>
          </w:tcPr>
          <w:p>
            <w:r>
              <w:t xml:space="preserve">30 May 2018 </w:t>
            </w:r>
          </w:p>
        </w:tc>
        <w:tc>
          <w:tcPr>
            <w:tcW w:type="dxa" w:w="1728"/>
          </w:tcPr>
          <w:p>
            <w:r>
              <w:t xml:space="preserve">Review date changed from 16/03/2021 to 31/12/2022. </w:t>
            </w:r>
          </w:p>
        </w:tc>
      </w:tr>
      <w:tr>
        <w:tc>
          <w:tcPr>
            <w:tcW w:type="dxa" w:w="1728"/>
          </w:tcPr>
          <w:p>
            <w:r>
              <w:t xml:space="preserve">5 </w:t>
            </w:r>
          </w:p>
        </w:tc>
        <w:tc>
          <w:tcPr>
            <w:tcW w:type="dxa" w:w="1728"/>
          </w:tcPr>
          <w:p>
            <w:r>
              <w:t xml:space="preserve">Policy Officer </w:t>
            </w:r>
          </w:p>
        </w:tc>
        <w:tc>
          <w:tcPr>
            <w:tcW w:type="dxa" w:w="1728"/>
          </w:tcPr>
          <w:p>
            <w:r>
              <w:t xml:space="preserve">8 November 2021 </w:t>
            </w:r>
          </w:p>
        </w:tc>
        <w:tc>
          <w:tcPr>
            <w:tcW w:type="dxa" w:w="1728"/>
          </w:tcPr>
          <w:p>
            <w:r>
              <w:t xml:space="preserve">8 November 2021 </w:t>
            </w:r>
          </w:p>
        </w:tc>
        <w:tc>
          <w:tcPr>
            <w:tcW w:type="dxa" w:w="1728"/>
          </w:tcPr>
          <w:p>
            <w:r>
              <w:t xml:space="preserve">Amendment to Supporting Processes link. </w:t>
            </w:r>
          </w:p>
        </w:tc>
      </w:tr>
    </w:tbl>
    <w:p>
      <w:r/>
      <w:r/>
      <w:r/>
      <w:r/>
    </w:p>
    <w:sectPr w:rsidR="00FC693F" w:rsidRPr="0006063C" w:rsidSect="00034616">
      <w:footerReference w:type="default" r:id="rId11"/>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unimelb.edu.au/governance/statutes" TargetMode="External"/><Relationship Id="rId11" Type="http://schemas.openxmlformats.org/officeDocument/2006/relationships/footer" Target="footer1.xml"/><Relationship Id="rId12" Type="http://schemas.openxmlformats.org/officeDocument/2006/relationships/hyperlink" Target="https://policy.unimelb.edu.au/category/Research and Research Training/" TargetMode="External"/><Relationship Id="rId13" Type="http://schemas.openxmlformats.org/officeDocument/2006/relationships/hyperlink" Target="https://au.promapp.com/unimelb/Process/Group/ce9877cb-150a-4ec8-9190-7167a65ef2bc" TargetMode="External"/><Relationship Id="rId14" Type="http://schemas.openxmlformats.org/officeDocument/2006/relationships/hyperlink" Target="https://about.unimelb.edu.au/__data/assets/pdf_file/0017/322208/GuidelinesAppropriateExerciseFreeSpee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