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Appointment Types Procedure (MPF1214)</w:t>
      </w:r>
    </w:p>
    <w:p>
      <w:r/>
    </w:p>
    <w:p>
      <w:r>
        <w:rPr>
          <w:rFonts w:ascii="Source Sans Pro" w:hAnsi="Source Sans Pro"/>
          <w:b/>
          <w:sz w:val="20"/>
        </w:rPr>
        <w:t xml:space="preserve">Category: </w:t>
      </w:r>
      <w:r/>
      <w:hyperlink r:id="rId17">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August, 2012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August, 2012</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at the University, independent contractors, honorary appointees and University visitors. </w:t>
      </w:r>
      <w:r/>
      <w:r/>
      <w:r/>
      <w:r/>
      <w:r/>
      <w:r/>
    </w:p>
    <w:p>
      <w:pPr>
        <w:pStyle w:val="Heading2"/>
      </w:pPr>
      <w:r/>
      <w:r/>
      <w:r/>
      <w:r>
        <w:t xml:space="preserve">PROCEDURE </w:t>
      </w:r>
      <w:r/>
      <w:r/>
      <w:r/>
      <w:r/>
      <w:r/>
      <w:r/>
      <w:r/>
      <w:r/>
      <w:r/>
      <w:r/>
    </w:p>
    <w:p>
      <w:pPr>
        <w:pStyle w:val="Heading3"/>
      </w:pPr>
      <w:r/>
      <w:r/>
      <w:r/>
      <w:r>
        <w:t xml:space="preserve">1. Categorising the relationship </w:t>
      </w:r>
      <w:r/>
      <w:r/>
      <w:r/>
      <w:r/>
      <w:r/>
    </w:p>
    <w:p>
      <w:r/>
      <w:r>
        <w:t xml:space="preserve">1.1 Where the University wishes to establish a professional relationship with an individual, the head of budget division will ensure that an appropriate type of appointment is established with the individual, except in the case of a casual appointment where the head of department will ensure the appropriate type of relationship is established, from the following categories: </w:t>
      </w:r>
      <w:r/>
      <w:r/>
    </w:p>
    <w:p>
      <w:pPr>
        <w:pStyle w:val="ListBullet"/>
        <w:spacing w:line="240" w:lineRule="auto"/>
        <w:ind w:left="360"/>
      </w:pPr>
      <w:r/>
      <w:r>
        <w:t xml:space="preserve">employee </w:t>
      </w:r>
      <w:r/>
    </w:p>
    <w:p>
      <w:pPr>
        <w:pStyle w:val="ListBullet"/>
        <w:spacing w:line="240" w:lineRule="auto"/>
        <w:ind w:left="360"/>
      </w:pPr>
      <w:r/>
      <w:r>
        <w:t xml:space="preserve">independent contractor </w:t>
      </w:r>
      <w:r/>
    </w:p>
    <w:p>
      <w:pPr>
        <w:pStyle w:val="ListBullet"/>
        <w:spacing w:line="240" w:lineRule="auto"/>
        <w:ind w:left="360"/>
      </w:pPr>
      <w:r/>
      <w:r>
        <w:t xml:space="preserve">honorary appointment </w:t>
      </w:r>
      <w:r/>
    </w:p>
    <w:p>
      <w:pPr>
        <w:pStyle w:val="ListBullet"/>
        <w:spacing w:line="240" w:lineRule="auto"/>
        <w:ind w:left="360"/>
      </w:pPr>
      <w:r/>
      <w:r>
        <w:t xml:space="preserve">University visitor </w:t>
      </w:r>
      <w:r/>
    </w:p>
    <w:p>
      <w:pPr>
        <w:pStyle w:val="ListBullet"/>
        <w:spacing w:line="240" w:lineRule="auto"/>
        <w:ind w:left="360"/>
      </w:pPr>
      <w:r/>
      <w:r/>
      <w:r>
        <w:rPr>
          <w:i/>
        </w:rPr>
        <w:t xml:space="preserve">sui generis </w:t>
      </w:r>
      <w:r>
        <w:t xml:space="preserve">(one of a kind). </w:t>
      </w:r>
      <w:r/>
      <w:r/>
    </w:p>
    <w:p>
      <w:r/>
      <w:r>
        <w:t xml:space="preserve">1.2 The head of budget division or head of department will determine the appropriate type of appointment on the basis of the nature of the individual’s contribution, payment arrangements and the individual’s academic status. Table 1 sets out these key factors influencing the type of appointment. </w:t>
      </w:r>
      <w:r/>
    </w:p>
    <w:p>
      <w:r/>
      <w:r/>
      <w:r>
        <w:rPr>
          <w:b/>
        </w:rPr>
        <w:t xml:space="preserve">Table 1. Types of Appointment </w:t>
      </w:r>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p>
          <w:p>
            <w:r/>
            <w:r/>
            <w:r>
              <w:rPr>
                <w:b/>
              </w:rPr>
              <w:t xml:space="preserve">Nature of contribution </w:t>
            </w:r>
            <w:r/>
            <w:r/>
          </w:p>
        </w:tc>
        <w:tc>
          <w:tcPr>
            <w:tcW w:type="dxa" w:w="2160"/>
          </w:tcPr>
          <w:p>
            <w:r/>
          </w:p>
          <w:p>
            <w:r/>
            <w:r/>
            <w:r>
              <w:rPr>
                <w:b/>
              </w:rPr>
              <w:t xml:space="preserve">Payment </w:t>
            </w:r>
            <w:r/>
            <w:r/>
          </w:p>
        </w:tc>
        <w:tc>
          <w:tcPr>
            <w:tcW w:type="dxa" w:w="2160"/>
          </w:tcPr>
          <w:p>
            <w:r/>
          </w:p>
          <w:p>
            <w:r/>
            <w:r/>
            <w:r>
              <w:rPr>
                <w:b/>
              </w:rPr>
              <w:t xml:space="preserve">Academic status </w:t>
            </w:r>
            <w:r/>
            <w:r/>
          </w:p>
        </w:tc>
        <w:tc>
          <w:tcPr>
            <w:tcW w:type="dxa" w:w="2160"/>
          </w:tcPr>
          <w:p>
            <w:r/>
          </w:p>
          <w:p>
            <w:r/>
            <w:r/>
            <w:r>
              <w:rPr>
                <w:b/>
              </w:rPr>
              <w:t xml:space="preserve">Appointment </w:t>
            </w:r>
            <w:r/>
            <w:r>
              <w:rPr>
                <w:b/>
              </w:rPr>
              <w:t xml:space="preserve">Type </w:t>
            </w:r>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University salary rates </w:t>
            </w:r>
            <w:r/>
          </w:p>
        </w:tc>
        <w:tc>
          <w:tcPr>
            <w:tcW w:type="dxa" w:w="2160"/>
          </w:tcPr>
          <w:p>
            <w:r/>
          </w:p>
          <w:p>
            <w:r/>
            <w:r>
              <w:t xml:space="preserve">May be awarded an academic appointment at the University of Melbourne, as appropriate </w:t>
            </w:r>
            <w:r/>
          </w:p>
        </w:tc>
        <w:tc>
          <w:tcPr>
            <w:tcW w:type="dxa" w:w="2160"/>
          </w:tcPr>
          <w:p>
            <w:r/>
          </w:p>
          <w:p>
            <w:r/>
            <w:r/>
            <w:r>
              <w:rPr>
                <w:b/>
              </w:rPr>
              <w:t xml:space="preserve">Employee </w:t>
            </w:r>
            <w:r/>
            <w:r/>
          </w:p>
          <w:p>
            <w:r/>
            <w:r/>
            <w:r/>
          </w:p>
          <w:p>
            <w:r/>
            <w:r>
              <w:t xml:space="preserve">(on a continuing, fixed term or casual basis) </w:t>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Any sum other than University salary rates </w:t>
            </w:r>
            <w:r/>
          </w:p>
        </w:tc>
        <w:tc>
          <w:tcPr>
            <w:tcW w:type="dxa" w:w="2160"/>
          </w:tcPr>
          <w:p>
            <w:r/>
          </w:p>
          <w:p>
            <w:r/>
            <w:r>
              <w:t xml:space="preserve">Holds academic appointment at another University </w:t>
            </w:r>
            <w:r/>
          </w:p>
        </w:tc>
        <w:tc>
          <w:tcPr>
            <w:tcW w:type="dxa" w:w="2160"/>
          </w:tcPr>
          <w:p>
            <w:r/>
          </w:p>
          <w:p>
            <w:r/>
            <w:r/>
            <w:r>
              <w:rPr>
                <w:b/>
              </w:rPr>
              <w:t xml:space="preserve">Independent contractor </w:t>
            </w:r>
            <w:r/>
            <w:r/>
          </w:p>
          <w:p>
            <w:r/>
            <w:r>
              <w:t xml:space="preserve">(providing academic services) </w:t>
            </w:r>
            <w:r/>
          </w:p>
          <w:p>
            <w:r/>
            <w:r>
              <w:t xml:space="preserve">plus, if required, </w:t>
            </w:r>
            <w:r/>
          </w:p>
          <w:p>
            <w:r/>
            <w:r/>
            <w:r>
              <w:rPr>
                <w:b/>
              </w:rPr>
              <w:t xml:space="preserve">Honorary appointment </w:t>
            </w:r>
            <w:r/>
            <w:r/>
          </w:p>
          <w:p>
            <w:r/>
            <w:r>
              <w:t xml:space="preserve">(as separate appointment) </w:t>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Any sum other than University salary rates </w:t>
            </w:r>
            <w:r/>
          </w:p>
        </w:tc>
        <w:tc>
          <w:tcPr>
            <w:tcW w:type="dxa" w:w="2160"/>
          </w:tcPr>
          <w:p>
            <w:r/>
          </w:p>
          <w:p>
            <w:r/>
            <w:r>
              <w:t xml:space="preserve">Does not hold academic appointment at another University </w:t>
            </w:r>
            <w:r/>
          </w:p>
        </w:tc>
        <w:tc>
          <w:tcPr>
            <w:tcW w:type="dxa" w:w="2160"/>
          </w:tcPr>
          <w:p>
            <w:r/>
          </w:p>
          <w:p>
            <w:r/>
            <w:r/>
            <w:r>
              <w:rPr>
                <w:b/>
              </w:rPr>
              <w:t xml:space="preserve">Independent contractor </w:t>
            </w:r>
            <w:r/>
            <w:r/>
          </w:p>
          <w:p>
            <w:r/>
            <w:r>
              <w:t xml:space="preserve">(providing non-academic services) </w:t>
            </w:r>
            <w:r/>
          </w:p>
        </w:tc>
      </w:tr>
      <w:tr>
        <w:tc>
          <w:tcPr>
            <w:tcW w:type="dxa" w:w="2160"/>
          </w:tcPr>
          <w:p>
            <w:r/>
          </w:p>
          <w:p>
            <w:r/>
            <w:r>
              <w:t xml:space="preserve">Individual provides academic services in essentially voluntary or ad hoc manner. Eg. provides occasional lecture, attends research seminars. </w:t>
            </w:r>
            <w:r/>
          </w:p>
        </w:tc>
        <w:tc>
          <w:tcPr>
            <w:tcW w:type="dxa" w:w="2160"/>
          </w:tcPr>
          <w:p>
            <w:r/>
          </w:p>
          <w:p>
            <w:r/>
            <w:r>
              <w:t xml:space="preserve">Less than $300 per day and, for individuals not travelling on a business visa, up to a maximum of $20,007 p.a. </w:t>
            </w:r>
            <w:r/>
          </w:p>
        </w:tc>
        <w:tc>
          <w:tcPr>
            <w:tcW w:type="dxa" w:w="2160"/>
          </w:tcPr>
          <w:p>
            <w:r/>
          </w:p>
          <w:p>
            <w:r/>
            <w:r>
              <w:t xml:space="preserve">Holds academic appointment at another University </w:t>
            </w:r>
            <w:r/>
          </w:p>
        </w:tc>
        <w:tc>
          <w:tcPr>
            <w:tcW w:type="dxa" w:w="2160"/>
          </w:tcPr>
          <w:p>
            <w:r/>
          </w:p>
          <w:p>
            <w:r/>
            <w:r/>
            <w:r>
              <w:rPr>
                <w:b/>
              </w:rPr>
              <w:t xml:space="preserve">Academic visitor </w:t>
            </w:r>
            <w:r/>
            <w:r/>
          </w:p>
        </w:tc>
      </w:tr>
      <w:tr>
        <w:tc>
          <w:tcPr>
            <w:tcW w:type="dxa" w:w="2160"/>
          </w:tcPr>
          <w:p>
            <w:r/>
          </w:p>
          <w:p>
            <w:r/>
            <w:r>
              <w:t xml:space="preserve">Individual provides academic services in essentially voluntary or ad hoc manner. Eg. provides occasional lecture, attends research seminars. </w:t>
            </w:r>
            <w:r/>
          </w:p>
        </w:tc>
        <w:tc>
          <w:tcPr>
            <w:tcW w:type="dxa" w:w="2160"/>
          </w:tcPr>
          <w:p>
            <w:r/>
          </w:p>
          <w:p>
            <w:r/>
            <w:r>
              <w:t xml:space="preserve">Less than $300 per day and, for individuals not travelling on a business visa, up to a maximum of $20,007 p.a. </w:t>
            </w:r>
            <w:r/>
          </w:p>
        </w:tc>
        <w:tc>
          <w:tcPr>
            <w:tcW w:type="dxa" w:w="2160"/>
          </w:tcPr>
          <w:p>
            <w:r/>
          </w:p>
          <w:p>
            <w:r/>
            <w:r>
              <w:t xml:space="preserve">Does not hold academic appointment at another University </w:t>
            </w:r>
            <w:r/>
          </w:p>
        </w:tc>
        <w:tc>
          <w:tcPr>
            <w:tcW w:type="dxa" w:w="2160"/>
          </w:tcPr>
          <w:p>
            <w:r/>
          </w:p>
          <w:p>
            <w:r/>
            <w:r/>
            <w:r>
              <w:rPr>
                <w:b/>
              </w:rPr>
              <w:t xml:space="preserve">Honorary appointment </w:t>
            </w:r>
            <w:r/>
            <w:r/>
          </w:p>
          <w:p>
            <w:r/>
            <w:r/>
            <w:r/>
          </w:p>
          <w:p>
            <w:r/>
            <w:r>
              <w:t xml:space="preserve">or </w:t>
            </w:r>
            <w:r/>
          </w:p>
          <w:p>
            <w:r/>
            <w:r/>
            <w:r/>
          </w:p>
          <w:p>
            <w:r/>
            <w:r/>
            <w:r>
              <w:rPr>
                <w:b/>
              </w:rPr>
              <w:t xml:space="preserve">Non-academic visitor </w:t>
            </w:r>
            <w:r/>
            <w:r/>
          </w:p>
        </w:tc>
      </w:tr>
    </w:tbl>
    <w:p>
      <w:r/>
    </w:p>
    <w:p>
      <w:r/>
      <w:r>
        <w:t xml:space="preserve">1.3 By law, service or services which are delivered on a regular or directed basis must be recognised through either an employment or contractor relationship. </w:t>
      </w:r>
      <w:r/>
    </w:p>
    <w:p>
      <w:r/>
      <w:r>
        <w:t xml:space="preserve">1.4 An employee is not permitted to establish any professional relationship with the University other than the employment relationship. </w:t>
      </w:r>
      <w:r/>
    </w:p>
    <w:p>
      <w:r/>
      <w:r>
        <w:t xml:space="preserve">1.5 An independent contractor may hold an honorary appointment at the University and may be appointed as a University visitor (although this affords the contractor no additional benefit).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0">
        <w:r>
          <w:rPr>
            <w:color w:val="0000EE"/>
            <w:u w:val="single"/>
          </w:rPr>
          <w:t xml:space="preserve">University of Melbourne Enterprise Agreement 2006 </w:t>
        </w:r>
      </w:hyperlink>
      <w:r/>
      <w:r/>
      <w:r/>
      <w:r/>
    </w:p>
    <w:p>
      <w:pPr>
        <w:pStyle w:val="ListBullet"/>
        <w:spacing w:line="240" w:lineRule="auto"/>
        <w:ind w:left="360"/>
      </w:pPr>
      <w:r/>
      <w:r/>
      <w:hyperlink r:id="rId11">
        <w:r>
          <w:rPr>
            <w:color w:val="0000EE"/>
            <w:u w:val="single"/>
          </w:rPr>
          <w:t xml:space="preserve">Recruitment and Appointment Policy </w:t>
        </w:r>
      </w:hyperlink>
      <w:r/>
      <w:r/>
    </w:p>
    <w:p>
      <w:pPr>
        <w:pStyle w:val="ListBullet"/>
        <w:spacing w:line="240" w:lineRule="auto"/>
        <w:ind w:left="360"/>
      </w:pPr>
      <w:r/>
      <w:r/>
      <w:hyperlink r:id="rId12">
        <w:r>
          <w:rPr>
            <w:color w:val="0000EE"/>
            <w:u w:val="single"/>
          </w:rPr>
          <w:t xml:space="preserve">Recruitment, Selection and Appointment Procedure </w:t>
        </w:r>
      </w:hyperlink>
      <w:r/>
      <w:r/>
    </w:p>
    <w:p>
      <w:pPr>
        <w:pStyle w:val="ListBullet"/>
        <w:spacing w:line="240" w:lineRule="auto"/>
        <w:ind w:left="360"/>
      </w:pPr>
      <w:r/>
      <w:r/>
      <w:hyperlink r:id="rId13">
        <w:r>
          <w:rPr>
            <w:color w:val="0000EE"/>
            <w:u w:val="single"/>
          </w:rPr>
          <w:t xml:space="preserve">Honorary Appointments and University Visitors Procedure </w:t>
        </w:r>
      </w:hyperlink>
      <w:r/>
      <w:r/>
    </w:p>
    <w:p>
      <w:pPr>
        <w:pStyle w:val="ListBullet"/>
        <w:spacing w:line="240" w:lineRule="auto"/>
        <w:ind w:left="360"/>
      </w:pPr>
      <w:r/>
      <w:r/>
      <w:hyperlink r:id="rId14">
        <w:r>
          <w:rPr>
            <w:color w:val="0000EE"/>
            <w:u w:val="single"/>
          </w:rPr>
          <w:t xml:space="preserve">Contractors and Consultants Policy </w:t>
        </w:r>
      </w:hyperlink>
      <w:r/>
      <w:r/>
    </w:p>
    <w:p>
      <w:pPr>
        <w:pStyle w:val="ListBullet"/>
        <w:spacing w:line="240" w:lineRule="auto"/>
        <w:ind w:left="360"/>
      </w:pPr>
      <w:r/>
      <w:r/>
      <w:hyperlink r:id="rId15">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www.hr.unimelb.edu.au/__data/assets/pdf_file/0019/26407/ea-2006.pdf" TargetMode="External"/><Relationship Id="rId11" Type="http://schemas.openxmlformats.org/officeDocument/2006/relationships/hyperlink" Target="http://policy.unimelb.edu.au/MPF1214" TargetMode="External"/><Relationship Id="rId12" Type="http://schemas.openxmlformats.org/officeDocument/2006/relationships/hyperlink" Target="http://policy.unimelb.edu.au/MPF1159" TargetMode="External"/><Relationship Id="rId13" Type="http://schemas.openxmlformats.org/officeDocument/2006/relationships/hyperlink" Target="http://policy.unimelb.edu.au/MPF1156" TargetMode="External"/><Relationship Id="rId14" Type="http://schemas.openxmlformats.org/officeDocument/2006/relationships/hyperlink" Target="http://policy.unimelb.edu.au/MPF1131" TargetMode="External"/><Relationship Id="rId15" Type="http://schemas.openxmlformats.org/officeDocument/2006/relationships/hyperlink" Target="http://www.hr.unimelb.edu.au/" TargetMode="External"/><Relationship Id="rId16" Type="http://schemas.openxmlformats.org/officeDocument/2006/relationships/footer" Target="footer1.xml"/><Relationship Id="rId17"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