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Health and Safety Policy (MPF1205)</w:t>
      </w:r>
    </w:p>
    <w:p>
      <w:r/>
    </w:p>
    <w:p>
      <w:r>
        <w:rPr>
          <w:rFonts w:ascii="Source Sans Pro" w:hAnsi="Source Sans Pro"/>
          <w:b/>
          <w:sz w:val="20"/>
        </w:rPr>
        <w:t xml:space="preserve">Category: </w:t>
      </w:r>
      <w:r/>
      <w:hyperlink r:id="rId16">
        <w:r>
          <w:rPr>
            <w:color w:val="0000FF"/>
            <w:u w:val="single"/>
          </w:rPr>
          <w:t xml:space="preserve"> Health and Safety </w:t>
        </w:r>
      </w:hyperlink>
      <w:r/>
      <w:r>
        <w:br/>
      </w:r>
      <w:r>
        <w:rPr>
          <w:rFonts w:ascii="Source Sans Pro" w:hAnsi="Source Sans Pro"/>
          <w:b/>
          <w:sz w:val="20"/>
        </w:rPr>
        <w:t xml:space="preserve">Version: </w:t>
      </w:r>
      <w:r>
        <w:rPr>
          <w:rFonts w:ascii="Source Sans Pro" w:hAnsi="Source Sans Pro"/>
          <w:sz w:val="20"/>
        </w:rPr>
        <w:t>8</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09 August, 2023</w:t>
        <w:br/>
      </w:r>
      <w:r>
        <w:rPr>
          <w:rFonts w:ascii="Source Sans Pro" w:hAnsi="Source Sans Pro"/>
          <w:b/>
          <w:sz w:val="20"/>
        </w:rPr>
        <w:t xml:space="preserve">Audience: </w:t>
      </w:r>
      <w:r>
        <w:rPr>
          <w:rFonts w:ascii="Source Sans Pro" w:hAnsi="Source Sans Pro"/>
          <w:sz w:val="20"/>
        </w:rPr>
        <w:t>Staff, Students, Research, Academic</w:t>
        <w:br/>
      </w:r>
      <w:r>
        <w:rPr>
          <w:rFonts w:ascii="Source Sans Pro" w:hAnsi="Source Sans Pro"/>
          <w:b/>
          <w:sz w:val="20"/>
        </w:rPr>
        <w:t xml:space="preserve">Effective Date: </w:t>
      </w:r>
      <w:r>
        <w:rPr>
          <w:rFonts w:ascii="Source Sans Pro" w:hAnsi="Source Sans Pro"/>
          <w:sz w:val="20"/>
        </w:rPr>
        <w:t>28 November, 2023</w:t>
        <w:br/>
      </w:r>
      <w:r>
        <w:rPr>
          <w:rFonts w:ascii="Source Sans Pro" w:hAnsi="Source Sans Pro"/>
          <w:b/>
          <w:sz w:val="20"/>
        </w:rPr>
        <w:t xml:space="preserve">Review due by: </w:t>
      </w:r>
      <w:r>
        <w:rPr>
          <w:rFonts w:ascii="Source Sans Pro" w:hAnsi="Source Sans Pro"/>
          <w:sz w:val="20"/>
        </w:rPr>
        <w:t>10 May, 2024</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Director, Health And Safety</w:t>
        <w:br/>
      </w:r>
      <w:r>
        <w:rPr>
          <w:rFonts w:ascii="Source Sans Pro" w:hAnsi="Source Sans Pro"/>
          <w:b/>
          <w:sz w:val="20"/>
        </w:rPr>
        <w:t xml:space="preserve">Supporting Process: </w:t>
      </w:r>
      <w:r/>
      <w:r>
        <w:br/>
      </w:r>
      <w:hyperlink r:id="rId12">
        <w:r>
          <w:rPr>
            <w:color w:val="0000FF"/>
            <w:u w:val="single"/>
          </w:rPr>
          <w:t>Health and Safety Processes</w:t>
        </w:r>
      </w:hyperlink>
      <w:r/>
      <w:r>
        <w:br/>
      </w:r>
    </w:p>
    <w:p w14:paraId="6AA64A7B" w14:textId="176EC90B" w:rsidR="00F71E11" w:rsidRDefault="00607C75" w:rsidP="00607C75">
      <w:pPr>
        <w:pStyle w:val="MPLHeading1"/>
      </w:pPr>
      <w:r>
        <w:t xml:space="preserve">Objective </w:t>
      </w:r>
    </w:p>
    <w:p w14:paraId="088452C3" w14:textId="77777777" w:rsidR="00F71E11" w:rsidRDefault="00607C75" w:rsidP="00607C75">
      <w:pPr>
        <w:pStyle w:val="MPLParagraphlevel1"/>
      </w:pPr>
      <w:r>
        <w:t xml:space="preserve">The objective of this policy is to define the University’s commitment to providing a safe and healthy working and learning environment. </w:t>
      </w:r>
    </w:p>
    <w:p w14:paraId="5767C2E7" w14:textId="0F2D6E4A" w:rsidR="00F71E11" w:rsidRDefault="00607C75" w:rsidP="00607C75">
      <w:pPr>
        <w:pStyle w:val="MPLHeading1"/>
      </w:pPr>
      <w:r>
        <w:t xml:space="preserve">Scope </w:t>
      </w:r>
    </w:p>
    <w:p w14:paraId="42ACFD5F" w14:textId="77777777" w:rsidR="00F71E11" w:rsidRDefault="00607C75" w:rsidP="00607C75">
      <w:pPr>
        <w:pStyle w:val="MPLParagraphlevel1"/>
      </w:pPr>
      <w:r>
        <w:t xml:space="preserve">This policy applies to all staff, students, contractors and other personnel at locations under the management or control of the University. </w:t>
      </w:r>
    </w:p>
    <w:p w14:paraId="0180FD1B" w14:textId="676477A8" w:rsidR="00F71E11" w:rsidRDefault="00607C75" w:rsidP="00607C75">
      <w:pPr>
        <w:pStyle w:val="MPLHeading1"/>
      </w:pPr>
      <w:r>
        <w:t xml:space="preserve">Authority </w:t>
      </w:r>
    </w:p>
    <w:p w14:paraId="4C7AB53F" w14:textId="29A41E53" w:rsidR="00F71E11" w:rsidRDefault="00607C75" w:rsidP="00607C75">
      <w:pPr>
        <w:pStyle w:val="MPLParagraphlevel1"/>
      </w:pPr>
      <w:r>
        <w:t xml:space="preserve">This policy is made under the </w:t>
      </w:r>
      <w:hyperlink r:id="rId8"/>
      <w:hyperlink r:id="rId9">
        <w:r>
          <w:rPr>
            <w:i/>
            <w:iCs/>
            <w:color w:val="0000EE"/>
            <w:u w:val="single"/>
          </w:rPr>
          <w:t>Un</w:t>
        </w:r>
        <w:r w:rsidRPr="00607C75">
          <w:rPr>
            <w:i/>
            <w:iCs/>
            <w:color w:val="0000EE"/>
            <w:u w:val="single"/>
          </w:rPr>
          <w:t>iversity of Melbourne Act 2009</w:t>
        </w:r>
        <w:r>
          <w:rPr>
            <w:color w:val="0000EE"/>
            <w:u w:val="single"/>
          </w:rPr>
          <w:t xml:space="preserve"> (Vic)</w:t>
        </w:r>
      </w:hyperlink>
      <w:r>
        <w:t xml:space="preserve"> </w:t>
      </w:r>
      <w:r>
        <w:t xml:space="preserve">and </w:t>
      </w:r>
      <w:hyperlink r:id="rId10">
        <w:r>
          <w:rPr>
            <w:color w:val="0000EE"/>
            <w:u w:val="single"/>
          </w:rPr>
          <w:t>Vice-Chancellor Regulation</w:t>
        </w:r>
      </w:hyperlink>
      <w:r>
        <w:t xml:space="preserve"> a</w:t>
      </w:r>
      <w:r>
        <w:t xml:space="preserve">nd supports compliance with the </w:t>
      </w:r>
      <w:r>
        <w:rPr>
          <w:i/>
        </w:rPr>
        <w:t xml:space="preserve">Occupational Health and Safety Act 2004 </w:t>
      </w:r>
      <w:r>
        <w:t xml:space="preserve">(Vic). </w:t>
      </w:r>
    </w:p>
    <w:p w14:paraId="1A8813D2" w14:textId="7D6180CF" w:rsidR="00F71E11" w:rsidRDefault="00607C75" w:rsidP="00607C75">
      <w:pPr>
        <w:pStyle w:val="MPLHeading1"/>
      </w:pPr>
      <w:r>
        <w:t xml:space="preserve">Policy </w:t>
      </w:r>
    </w:p>
    <w:p w14:paraId="716D2DBC" w14:textId="32CE285F" w:rsidR="00F71E11" w:rsidRDefault="00607C75" w:rsidP="00607C75">
      <w:pPr>
        <w:pStyle w:val="MPLParagraphlevel1"/>
      </w:pPr>
      <w:r>
        <w:t xml:space="preserve">The University is committed to: </w:t>
      </w:r>
    </w:p>
    <w:p w14:paraId="04808C52" w14:textId="43136DC4" w:rsidR="00F71E11" w:rsidRDefault="00607C75" w:rsidP="00607C75">
      <w:pPr>
        <w:pStyle w:val="MPLParagraphlevel2"/>
      </w:pPr>
      <w:r>
        <w:t xml:space="preserve">creating an accessible health and safety management system that eliminates or minimises risk of injury or illness to people associated with the University’s operations; </w:t>
      </w:r>
    </w:p>
    <w:p w14:paraId="5293E58D" w14:textId="322717EB" w:rsidR="00F71E11" w:rsidRDefault="00607C75" w:rsidP="00607C75">
      <w:pPr>
        <w:pStyle w:val="MPLParagraphlevel2"/>
      </w:pPr>
      <w:r>
        <w:t xml:space="preserve">engaging with all staff, students, visitors and partner organisations in creating safe working and learning environments and safe systems of work; </w:t>
      </w:r>
    </w:p>
    <w:p w14:paraId="0EDA422B" w14:textId="3213D99E" w:rsidR="00F71E11" w:rsidRDefault="00607C75" w:rsidP="00607C75">
      <w:pPr>
        <w:pStyle w:val="MPLParagraphlevel2"/>
      </w:pPr>
      <w:r>
        <w:t xml:space="preserve">developing and maintaining a culture that encourages all personnel to actively manage health and safety risks; </w:t>
      </w:r>
    </w:p>
    <w:p w14:paraId="66292D55" w14:textId="643AA8DD" w:rsidR="00F71E11" w:rsidRDefault="00607C75" w:rsidP="00607C75">
      <w:pPr>
        <w:pStyle w:val="MPLParagraphlevel2"/>
      </w:pPr>
      <w:r>
        <w:t xml:space="preserve">providing a continually improving health and safety management system by establishing, and monitoring progress towards measurable objectives and targets aimed at eliminating work-related illness and injury; and </w:t>
      </w:r>
    </w:p>
    <w:p w14:paraId="54BCFB2E" w14:textId="5BE375CA" w:rsidR="00F71E11" w:rsidRDefault="00607C75" w:rsidP="00607C75">
      <w:pPr>
        <w:pStyle w:val="MPLParagraphlevel2"/>
      </w:pPr>
      <w:r>
        <w:t xml:space="preserve">establishing a health and safety management framework to meet legislative obligations to the highest possible standard. </w:t>
      </w:r>
    </w:p>
    <w:p w14:paraId="70FD03BA" w14:textId="3575C757" w:rsidR="00F71E11" w:rsidRDefault="00607C75" w:rsidP="00607C75">
      <w:pPr>
        <w:pStyle w:val="MPLParagraphlevel1"/>
      </w:pPr>
      <w:r>
        <w:t xml:space="preserve">The University is committed to complying with all relevant health and safety legislation and other requirements to which the University subscribes. </w:t>
      </w:r>
    </w:p>
    <w:p w14:paraId="3584E59D" w14:textId="29563298" w:rsidR="00F71E11" w:rsidRDefault="00607C75" w:rsidP="00607C75">
      <w:pPr>
        <w:pStyle w:val="MPLParagraphlevel1"/>
      </w:pPr>
      <w:r>
        <w:t xml:space="preserve">The University operates a health and safety management system that is consistent with the nature and scale of its operations. </w:t>
      </w:r>
    </w:p>
    <w:p w14:paraId="4669995E" w14:textId="56421134" w:rsidR="00F71E11" w:rsidRDefault="00607C75" w:rsidP="00607C75">
      <w:pPr>
        <w:pStyle w:val="MPLParagraphlevel1"/>
      </w:pPr>
      <w:r>
        <w:t xml:space="preserve">The University provides appropriate health and safety training for all </w:t>
      </w:r>
      <w:proofErr w:type="gramStart"/>
      <w:r>
        <w:t>staff, and</w:t>
      </w:r>
      <w:proofErr w:type="gramEnd"/>
      <w:r>
        <w:t xml:space="preserve"> disseminates health and safety information and instruction to all personnel in the workplace. </w:t>
      </w:r>
    </w:p>
    <w:p w14:paraId="5C2D831D" w14:textId="682AE207" w:rsidR="00F71E11" w:rsidRDefault="00607C75" w:rsidP="00607C75">
      <w:pPr>
        <w:pStyle w:val="MPLParagraphlevel1"/>
      </w:pPr>
      <w:r>
        <w:t xml:space="preserve">The University engages and includes staff in a consultation process for decision making where there is an impact on workplace health and safety. </w:t>
      </w:r>
    </w:p>
    <w:p w14:paraId="590BD2D0" w14:textId="739B7F9B" w:rsidR="00F71E11" w:rsidRDefault="00607C75" w:rsidP="00607C75">
      <w:pPr>
        <w:pStyle w:val="MPLParagraphlevel1"/>
      </w:pPr>
      <w:r>
        <w:t xml:space="preserve">The University defines, documents and communicates health and safety responsibilities, authority to act, and reporting requirements for personnel at all levels in the workplace. </w:t>
      </w:r>
    </w:p>
    <w:p w14:paraId="35A36941" w14:textId="087CEFEA" w:rsidR="00F71E11" w:rsidRDefault="00607C75" w:rsidP="00607C75">
      <w:pPr>
        <w:pStyle w:val="MPLParagraphlevel1"/>
      </w:pPr>
      <w:r>
        <w:t xml:space="preserve">The University actively identifies and manages health and safety risks, through the systematic identification of hazards, evaluation of risks and implementation of effective risk controls. </w:t>
      </w:r>
    </w:p>
    <w:p w14:paraId="5909A779" w14:textId="1BE2FFD6" w:rsidR="00F71E11" w:rsidRDefault="00607C75" w:rsidP="00607C75">
      <w:pPr>
        <w:pStyle w:val="MPLParagraphlevel1"/>
      </w:pPr>
      <w:r>
        <w:t xml:space="preserve">The University promptly reports hazards, incidents and injuries, investigates where appropriate, and implements control measures to eliminate or minimise the risk of recurrence. </w:t>
      </w:r>
    </w:p>
    <w:p w14:paraId="626AA406" w14:textId="6259C5E8" w:rsidR="00F71E11" w:rsidRDefault="00607C75" w:rsidP="00607C75">
      <w:pPr>
        <w:pStyle w:val="MPLHeading1"/>
      </w:pPr>
      <w:r>
        <w:lastRenderedPageBreak/>
        <w:t xml:space="preserve">Procedural principles </w:t>
      </w:r>
    </w:p>
    <w:p w14:paraId="30235691" w14:textId="74D925E6" w:rsidR="00F71E11" w:rsidRDefault="00607C75" w:rsidP="00607C75">
      <w:pPr>
        <w:pStyle w:val="MPLParagraphlevel1"/>
      </w:pPr>
      <w:r>
        <w:t>The Policy Approver</w:t>
      </w:r>
      <w:r>
        <w:t xml:space="preserve"> is responsible for establishing and maintaining a documented health and safety management system. </w:t>
      </w:r>
    </w:p>
    <w:p w14:paraId="56BCD117" w14:textId="1C9B8171" w:rsidR="00F71E11" w:rsidRDefault="00607C75" w:rsidP="00607C75">
      <w:pPr>
        <w:pStyle w:val="MPLParagraphlevel1"/>
      </w:pPr>
      <w:r>
        <w:t xml:space="preserve">The health and safety management system includes processes aimed at health and safety: </w:t>
      </w:r>
    </w:p>
    <w:p w14:paraId="24AE4616" w14:textId="515AD694" w:rsidR="00F71E11" w:rsidRDefault="00607C75" w:rsidP="00607C75">
      <w:pPr>
        <w:pStyle w:val="MPLParagraphlevel2"/>
      </w:pPr>
      <w:r>
        <w:t xml:space="preserve">planning; </w:t>
      </w:r>
    </w:p>
    <w:p w14:paraId="4CC36E97" w14:textId="0AE3182A" w:rsidR="00F71E11" w:rsidRDefault="00607C75" w:rsidP="00607C75">
      <w:pPr>
        <w:pStyle w:val="MPLParagraphlevel2"/>
      </w:pPr>
      <w:r>
        <w:t xml:space="preserve">implementation; </w:t>
      </w:r>
    </w:p>
    <w:p w14:paraId="00768454" w14:textId="32C1F3D1" w:rsidR="00F71E11" w:rsidRDefault="00607C75" w:rsidP="00607C75">
      <w:pPr>
        <w:pStyle w:val="MPLParagraphlevel2"/>
      </w:pPr>
      <w:r>
        <w:t xml:space="preserve">measurement and evaluation; and </w:t>
      </w:r>
    </w:p>
    <w:p w14:paraId="5DBF4C73" w14:textId="15A5E325" w:rsidR="00F71E11" w:rsidRDefault="00607C75" w:rsidP="00607C75">
      <w:pPr>
        <w:pStyle w:val="MPLParagraphlevel2"/>
      </w:pPr>
      <w:r>
        <w:t xml:space="preserve">management and review. </w:t>
      </w:r>
    </w:p>
    <w:p w14:paraId="0EE4D1FD" w14:textId="430CF1BE" w:rsidR="00F71E11" w:rsidRDefault="00607C75" w:rsidP="00607C75">
      <w:pPr>
        <w:pStyle w:val="MPLParagraphlevel1"/>
      </w:pPr>
      <w:r>
        <w:t xml:space="preserve">Heads of divisions are responsible for ensuring that appropriate health and safety training opportunities are provided, and that all mandatory health and safety training is completed and up to date. </w:t>
      </w:r>
    </w:p>
    <w:p w14:paraId="7B589FAA" w14:textId="7A760CF1" w:rsidR="00F71E11" w:rsidRDefault="00607C75" w:rsidP="00607C75">
      <w:pPr>
        <w:pStyle w:val="MPLParagraphlevel1"/>
      </w:pPr>
      <w:r>
        <w:t xml:space="preserve">Health and safety responsibilities, authorities to act and reporting requirements are documented in this policy, the </w:t>
      </w:r>
      <w:hyperlink r:id="rId11">
        <w:r>
          <w:rPr>
            <w:color w:val="0000EE"/>
            <w:u w:val="single"/>
          </w:rPr>
          <w:t>Health &amp; Safety Management System</w:t>
        </w:r>
      </w:hyperlink>
      <w:r>
        <w:t xml:space="preserve">, and </w:t>
      </w:r>
      <w:hyperlink r:id="rId12">
        <w:r>
          <w:rPr>
            <w:color w:val="0000EE"/>
            <w:u w:val="single"/>
          </w:rPr>
          <w:t>supporting processes</w:t>
        </w:r>
      </w:hyperlink>
      <w:r>
        <w:t xml:space="preserve">. </w:t>
      </w:r>
    </w:p>
    <w:p w14:paraId="11F224E9" w14:textId="7B536CE6" w:rsidR="00F71E11" w:rsidRDefault="00607C75" w:rsidP="00607C75">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F71E11" w14:paraId="4C20C394" w14:textId="77777777">
        <w:tc>
          <w:tcPr>
            <w:tcW w:w="2880" w:type="dxa"/>
          </w:tcPr>
          <w:p w14:paraId="117EC4B5" w14:textId="77777777" w:rsidR="00F71E11" w:rsidRDefault="00F71E11" w:rsidP="00607C75">
            <w:pPr>
              <w:pStyle w:val="MPLParapgrah"/>
            </w:pPr>
          </w:p>
          <w:p w14:paraId="474D00DC" w14:textId="77777777" w:rsidR="00F71E11" w:rsidRDefault="00607C75" w:rsidP="00607C75">
            <w:pPr>
              <w:pStyle w:val="MPLParapgrah"/>
            </w:pPr>
            <w:r>
              <w:rPr>
                <w:i/>
              </w:rPr>
              <w:t xml:space="preserve">Role/Decision/Action </w:t>
            </w:r>
          </w:p>
        </w:tc>
        <w:tc>
          <w:tcPr>
            <w:tcW w:w="2880" w:type="dxa"/>
          </w:tcPr>
          <w:p w14:paraId="7026DF18" w14:textId="77777777" w:rsidR="00F71E11" w:rsidRDefault="00F71E11" w:rsidP="00607C75">
            <w:pPr>
              <w:pStyle w:val="MPLParapgrah"/>
            </w:pPr>
          </w:p>
          <w:p w14:paraId="1E49A07E" w14:textId="77777777" w:rsidR="00F71E11" w:rsidRDefault="00607C75" w:rsidP="00607C75">
            <w:pPr>
              <w:pStyle w:val="MPLParapgrah"/>
            </w:pPr>
            <w:r>
              <w:rPr>
                <w:i/>
              </w:rPr>
              <w:t xml:space="preserve">Responsibility </w:t>
            </w:r>
          </w:p>
        </w:tc>
        <w:tc>
          <w:tcPr>
            <w:tcW w:w="2880" w:type="dxa"/>
          </w:tcPr>
          <w:p w14:paraId="099ED685" w14:textId="77777777" w:rsidR="00F71E11" w:rsidRDefault="00F71E11" w:rsidP="00607C75">
            <w:pPr>
              <w:pStyle w:val="MPLParapgrah"/>
            </w:pPr>
          </w:p>
          <w:p w14:paraId="2D987081" w14:textId="77777777" w:rsidR="00F71E11" w:rsidRDefault="00607C75" w:rsidP="00607C75">
            <w:pPr>
              <w:pStyle w:val="MPLParapgrah"/>
            </w:pPr>
            <w:r>
              <w:rPr>
                <w:i/>
              </w:rPr>
              <w:t xml:space="preserve">Conditions and limitations </w:t>
            </w:r>
          </w:p>
        </w:tc>
      </w:tr>
      <w:tr w:rsidR="00F71E11" w14:paraId="47317802" w14:textId="77777777">
        <w:tc>
          <w:tcPr>
            <w:tcW w:w="2880" w:type="dxa"/>
          </w:tcPr>
          <w:p w14:paraId="1FFBDFE1" w14:textId="77777777" w:rsidR="00F71E11" w:rsidRDefault="00F71E11" w:rsidP="00607C75">
            <w:pPr>
              <w:pStyle w:val="MPLParapgrah"/>
            </w:pPr>
          </w:p>
          <w:p w14:paraId="1CC88FC9" w14:textId="77777777" w:rsidR="00F71E11" w:rsidRDefault="00607C75" w:rsidP="00607C75">
            <w:pPr>
              <w:pStyle w:val="MPLParapgrah"/>
            </w:pPr>
            <w:r>
              <w:t xml:space="preserve">Establish and maintain the Health &amp; Safety Management System </w:t>
            </w:r>
          </w:p>
        </w:tc>
        <w:tc>
          <w:tcPr>
            <w:tcW w:w="2880" w:type="dxa"/>
          </w:tcPr>
          <w:p w14:paraId="31D40013" w14:textId="0B4E0026" w:rsidR="00F71E11" w:rsidRDefault="00607C75" w:rsidP="00607C75">
            <w:pPr>
              <w:pStyle w:val="MPLParapgrah"/>
            </w:pPr>
            <w:r>
              <w:rPr>
                <w:color w:val="212529"/>
                <w:shd w:val="clear" w:color="auto" w:fill="FFFFFF"/>
              </w:rPr>
              <w:t>Vice-President Administration &amp; Finance and Chief Operating Officer</w:t>
            </w:r>
          </w:p>
        </w:tc>
        <w:tc>
          <w:tcPr>
            <w:tcW w:w="2880" w:type="dxa"/>
          </w:tcPr>
          <w:p w14:paraId="2D13B584" w14:textId="77777777" w:rsidR="00F71E11" w:rsidRDefault="00F71E11" w:rsidP="00607C75">
            <w:pPr>
              <w:pStyle w:val="MPLParapgrah"/>
            </w:pPr>
          </w:p>
          <w:p w14:paraId="68274FE8" w14:textId="77777777" w:rsidR="00F71E11" w:rsidRDefault="00607C75" w:rsidP="00607C75">
            <w:pPr>
              <w:pStyle w:val="MPLParapgrah"/>
            </w:pPr>
            <w:r>
              <w:t xml:space="preserve">In accordance with relevant legislation, </w:t>
            </w:r>
            <w:proofErr w:type="gramStart"/>
            <w:r>
              <w:t>standards</w:t>
            </w:r>
            <w:proofErr w:type="gramEnd"/>
            <w:r>
              <w:t xml:space="preserve"> and this policy </w:t>
            </w:r>
          </w:p>
        </w:tc>
      </w:tr>
      <w:tr w:rsidR="00F71E11" w14:paraId="11B9B470" w14:textId="77777777">
        <w:tc>
          <w:tcPr>
            <w:tcW w:w="2880" w:type="dxa"/>
          </w:tcPr>
          <w:p w14:paraId="4FD5C0D0" w14:textId="77777777" w:rsidR="00F71E11" w:rsidRDefault="00F71E11" w:rsidP="00607C75">
            <w:pPr>
              <w:pStyle w:val="MPLParapgrah"/>
            </w:pPr>
          </w:p>
          <w:p w14:paraId="5652CE78" w14:textId="77777777" w:rsidR="00F71E11" w:rsidRDefault="00607C75" w:rsidP="00607C75">
            <w:pPr>
              <w:pStyle w:val="MPLParapgrah"/>
            </w:pPr>
            <w:r>
              <w:t xml:space="preserve">Ensure health and safety training is provided and completed </w:t>
            </w:r>
          </w:p>
        </w:tc>
        <w:tc>
          <w:tcPr>
            <w:tcW w:w="2880" w:type="dxa"/>
          </w:tcPr>
          <w:p w14:paraId="41C7A271" w14:textId="77777777" w:rsidR="00F71E11" w:rsidRDefault="00F71E11" w:rsidP="00607C75">
            <w:pPr>
              <w:pStyle w:val="MPLParapgrah"/>
            </w:pPr>
          </w:p>
          <w:p w14:paraId="22AFA284" w14:textId="77777777" w:rsidR="00F71E11" w:rsidRDefault="00607C75" w:rsidP="00607C75">
            <w:pPr>
              <w:pStyle w:val="MPLParapgrah"/>
            </w:pPr>
            <w:r>
              <w:t xml:space="preserve">Heads of divisions </w:t>
            </w:r>
          </w:p>
        </w:tc>
        <w:tc>
          <w:tcPr>
            <w:tcW w:w="2880" w:type="dxa"/>
          </w:tcPr>
          <w:p w14:paraId="46FA7726" w14:textId="77777777" w:rsidR="00F71E11" w:rsidRDefault="00607C75" w:rsidP="00607C75">
            <w:pPr>
              <w:pStyle w:val="MPLParapgrah"/>
            </w:pPr>
            <w:r>
              <w:br/>
            </w:r>
            <w:r>
              <w:br/>
            </w:r>
          </w:p>
        </w:tc>
      </w:tr>
    </w:tbl>
    <w:p w14:paraId="299DD1FF" w14:textId="77777777" w:rsidR="00F71E11" w:rsidRDefault="00607C75" w:rsidP="00607C75">
      <w:pPr>
        <w:pStyle w:val="MPLNoNumberingHeadings"/>
      </w:pPr>
      <w:r>
        <w:t xml:space="preserve">POLICY APPROVER </w:t>
      </w:r>
    </w:p>
    <w:p w14:paraId="39E5FEB6" w14:textId="77777777" w:rsidR="00607C75" w:rsidRDefault="00607C75" w:rsidP="00607C75">
      <w:pPr>
        <w:pStyle w:val="MPLParapgrah"/>
        <w:rPr>
          <w:b/>
          <w:bCs/>
          <w:shd w:val="clear" w:color="auto" w:fill="FFFFFF"/>
        </w:rPr>
      </w:pPr>
      <w:r w:rsidRPr="00607C75">
        <w:rPr>
          <w:shd w:val="clear" w:color="auto" w:fill="FFFFFF"/>
        </w:rPr>
        <w:t>Vice-President Administration &amp; Finance and Chief Operating Officer</w:t>
      </w:r>
    </w:p>
    <w:p w14:paraId="2C5F6FBE" w14:textId="044082C9" w:rsidR="00F71E11" w:rsidRDefault="00607C75" w:rsidP="00607C75">
      <w:pPr>
        <w:pStyle w:val="MPLNoNumberingHeadings"/>
      </w:pPr>
      <w:r>
        <w:t xml:space="preserve">POLICY STEWARD </w:t>
      </w:r>
    </w:p>
    <w:p w14:paraId="644E857E" w14:textId="77777777" w:rsidR="00F71E11" w:rsidRDefault="00607C75" w:rsidP="00607C75">
      <w:pPr>
        <w:pStyle w:val="MPLParapgrah"/>
      </w:pPr>
      <w:r>
        <w:t xml:space="preserve">Director, </w:t>
      </w:r>
      <w:proofErr w:type="gramStart"/>
      <w:r>
        <w:t>Health</w:t>
      </w:r>
      <w:proofErr w:type="gramEnd"/>
      <w:r>
        <w:t xml:space="preserve"> and Safety </w:t>
      </w:r>
    </w:p>
    <w:p w14:paraId="336418D4" w14:textId="77777777" w:rsidR="00F71E11" w:rsidRDefault="00607C75" w:rsidP="00607C75">
      <w:pPr>
        <w:pStyle w:val="MPLNoNumberingHeadings"/>
      </w:pPr>
      <w:r>
        <w:t xml:space="preserve">REVIEW </w:t>
      </w:r>
    </w:p>
    <w:p w14:paraId="22193FA1" w14:textId="77777777" w:rsidR="00F71E11" w:rsidRDefault="00607C75" w:rsidP="00607C75">
      <w:pPr>
        <w:pStyle w:val="MPLParapgrah"/>
      </w:pPr>
      <w:r>
        <w:t xml:space="preserve">This policy is to be reviewed by 10 May 2024. </w:t>
      </w:r>
    </w:p>
    <w:p w14:paraId="3DAAC952" w14:textId="77777777" w:rsidR="00F71E11" w:rsidRDefault="00607C75" w:rsidP="00607C75">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F71E11" w14:paraId="4C3EECF4" w14:textId="77777777">
        <w:tc>
          <w:tcPr>
            <w:tcW w:w="1728" w:type="dxa"/>
          </w:tcPr>
          <w:p w14:paraId="5BFA33B7" w14:textId="77777777" w:rsidR="00F71E11" w:rsidRDefault="00F71E11" w:rsidP="00607C75">
            <w:pPr>
              <w:pStyle w:val="MPLParapgrah"/>
            </w:pPr>
          </w:p>
          <w:p w14:paraId="289EE706" w14:textId="77777777" w:rsidR="00F71E11" w:rsidRDefault="00607C75" w:rsidP="00607C75">
            <w:pPr>
              <w:pStyle w:val="MPLParapgrah"/>
            </w:pPr>
            <w:r>
              <w:rPr>
                <w:b/>
              </w:rPr>
              <w:t xml:space="preserve">Version </w:t>
            </w:r>
          </w:p>
        </w:tc>
        <w:tc>
          <w:tcPr>
            <w:tcW w:w="1728" w:type="dxa"/>
          </w:tcPr>
          <w:p w14:paraId="73118819" w14:textId="77777777" w:rsidR="00F71E11" w:rsidRDefault="00F71E11" w:rsidP="00607C75">
            <w:pPr>
              <w:pStyle w:val="MPLParapgrah"/>
            </w:pPr>
          </w:p>
          <w:p w14:paraId="029F2CC2" w14:textId="77777777" w:rsidR="00F71E11" w:rsidRDefault="00607C75" w:rsidP="00607C75">
            <w:pPr>
              <w:pStyle w:val="MPLParapgrah"/>
            </w:pPr>
            <w:r>
              <w:rPr>
                <w:b/>
              </w:rPr>
              <w:t xml:space="preserve">Authorised by </w:t>
            </w:r>
          </w:p>
        </w:tc>
        <w:tc>
          <w:tcPr>
            <w:tcW w:w="1728" w:type="dxa"/>
          </w:tcPr>
          <w:p w14:paraId="2F84C3C0" w14:textId="77777777" w:rsidR="00F71E11" w:rsidRDefault="00F71E11" w:rsidP="00607C75">
            <w:pPr>
              <w:pStyle w:val="MPLParapgrah"/>
            </w:pPr>
          </w:p>
          <w:p w14:paraId="13567C37" w14:textId="77777777" w:rsidR="00F71E11" w:rsidRDefault="00607C75" w:rsidP="00607C75">
            <w:pPr>
              <w:pStyle w:val="MPLParapgrah"/>
            </w:pPr>
            <w:r>
              <w:rPr>
                <w:b/>
              </w:rPr>
              <w:t xml:space="preserve">Approval Date </w:t>
            </w:r>
          </w:p>
        </w:tc>
        <w:tc>
          <w:tcPr>
            <w:tcW w:w="1728" w:type="dxa"/>
          </w:tcPr>
          <w:p w14:paraId="77E7FDD4" w14:textId="77777777" w:rsidR="00F71E11" w:rsidRDefault="00F71E11" w:rsidP="00607C75">
            <w:pPr>
              <w:pStyle w:val="MPLParapgrah"/>
            </w:pPr>
          </w:p>
          <w:p w14:paraId="1A01A288" w14:textId="77777777" w:rsidR="00F71E11" w:rsidRDefault="00607C75" w:rsidP="00607C75">
            <w:pPr>
              <w:pStyle w:val="MPLParapgrah"/>
            </w:pPr>
            <w:r>
              <w:rPr>
                <w:b/>
              </w:rPr>
              <w:t xml:space="preserve">Effective Date </w:t>
            </w:r>
          </w:p>
        </w:tc>
        <w:tc>
          <w:tcPr>
            <w:tcW w:w="1728" w:type="dxa"/>
          </w:tcPr>
          <w:p w14:paraId="4BC50044" w14:textId="77777777" w:rsidR="00F71E11" w:rsidRDefault="00F71E11" w:rsidP="00607C75">
            <w:pPr>
              <w:pStyle w:val="MPLParapgrah"/>
            </w:pPr>
          </w:p>
          <w:p w14:paraId="5FA807C5" w14:textId="77777777" w:rsidR="00F71E11" w:rsidRDefault="00607C75" w:rsidP="00607C75">
            <w:pPr>
              <w:pStyle w:val="MPLParapgrah"/>
            </w:pPr>
            <w:r>
              <w:rPr>
                <w:b/>
              </w:rPr>
              <w:t xml:space="preserve">Sections modified </w:t>
            </w:r>
          </w:p>
        </w:tc>
      </w:tr>
      <w:tr w:rsidR="00F71E11" w14:paraId="6049EED5" w14:textId="77777777">
        <w:tc>
          <w:tcPr>
            <w:tcW w:w="1728" w:type="dxa"/>
          </w:tcPr>
          <w:p w14:paraId="2515250F" w14:textId="77777777" w:rsidR="00F71E11" w:rsidRDefault="00F71E11" w:rsidP="00607C75">
            <w:pPr>
              <w:pStyle w:val="MPLParapgrah"/>
            </w:pPr>
          </w:p>
          <w:p w14:paraId="373B70D0" w14:textId="77777777" w:rsidR="00F71E11" w:rsidRDefault="00F71E11" w:rsidP="00607C75">
            <w:pPr>
              <w:pStyle w:val="MPLParapgrah"/>
            </w:pPr>
          </w:p>
        </w:tc>
        <w:tc>
          <w:tcPr>
            <w:tcW w:w="1728" w:type="dxa"/>
          </w:tcPr>
          <w:p w14:paraId="7E63B686" w14:textId="77777777" w:rsidR="00F71E11" w:rsidRDefault="00F71E11" w:rsidP="00607C75">
            <w:pPr>
              <w:pStyle w:val="MPLParapgrah"/>
            </w:pPr>
          </w:p>
          <w:p w14:paraId="525E2026" w14:textId="77777777" w:rsidR="00F71E11" w:rsidRDefault="00607C75" w:rsidP="00607C75">
            <w:pPr>
              <w:pStyle w:val="MPLParapgrah"/>
            </w:pPr>
            <w:r>
              <w:t xml:space="preserve">Vice-Chancellor </w:t>
            </w:r>
          </w:p>
        </w:tc>
        <w:tc>
          <w:tcPr>
            <w:tcW w:w="1728" w:type="dxa"/>
          </w:tcPr>
          <w:p w14:paraId="00043A2F" w14:textId="77777777" w:rsidR="00F71E11" w:rsidRDefault="00F71E11" w:rsidP="00607C75">
            <w:pPr>
              <w:pStyle w:val="MPLParapgrah"/>
            </w:pPr>
          </w:p>
          <w:p w14:paraId="3D38D186" w14:textId="77777777" w:rsidR="00F71E11" w:rsidRDefault="00607C75" w:rsidP="00607C75">
            <w:pPr>
              <w:pStyle w:val="MPLParapgrah"/>
            </w:pPr>
            <w:r>
              <w:t xml:space="preserve">7 June 2010 </w:t>
            </w:r>
          </w:p>
        </w:tc>
        <w:tc>
          <w:tcPr>
            <w:tcW w:w="1728" w:type="dxa"/>
          </w:tcPr>
          <w:p w14:paraId="47CAE137" w14:textId="77777777" w:rsidR="00F71E11" w:rsidRDefault="00F71E11" w:rsidP="00607C75">
            <w:pPr>
              <w:pStyle w:val="MPLParapgrah"/>
            </w:pPr>
          </w:p>
          <w:p w14:paraId="4D2ED305" w14:textId="77777777" w:rsidR="00F71E11" w:rsidRDefault="00607C75" w:rsidP="00607C75">
            <w:pPr>
              <w:pStyle w:val="MPLParapgrah"/>
            </w:pPr>
            <w:r>
              <w:t xml:space="preserve">7 June 2010 </w:t>
            </w:r>
          </w:p>
        </w:tc>
        <w:tc>
          <w:tcPr>
            <w:tcW w:w="1728" w:type="dxa"/>
          </w:tcPr>
          <w:p w14:paraId="18625111" w14:textId="77777777" w:rsidR="00F71E11" w:rsidRDefault="00F71E11" w:rsidP="00607C75">
            <w:pPr>
              <w:pStyle w:val="MPLParapgrah"/>
            </w:pPr>
          </w:p>
          <w:p w14:paraId="0ECCC262" w14:textId="77777777" w:rsidR="00F71E11" w:rsidRDefault="00607C75" w:rsidP="00607C75">
            <w:pPr>
              <w:pStyle w:val="MPLParapgrah"/>
            </w:pPr>
            <w:r>
              <w:t xml:space="preserve">Fully rewritten. OHS policy was previously part of a University Regulation and the OHS Manual. </w:t>
            </w:r>
          </w:p>
        </w:tc>
      </w:tr>
      <w:tr w:rsidR="00F71E11" w14:paraId="0BE0153E" w14:textId="77777777">
        <w:tc>
          <w:tcPr>
            <w:tcW w:w="1728" w:type="dxa"/>
          </w:tcPr>
          <w:p w14:paraId="0F5C5B4A" w14:textId="77777777" w:rsidR="00F71E11" w:rsidRDefault="00F71E11" w:rsidP="00607C75">
            <w:pPr>
              <w:pStyle w:val="MPLParapgrah"/>
            </w:pPr>
          </w:p>
          <w:p w14:paraId="6526EDAA" w14:textId="77777777" w:rsidR="00F71E11" w:rsidRDefault="00F71E11" w:rsidP="00607C75">
            <w:pPr>
              <w:pStyle w:val="MPLParapgrah"/>
            </w:pPr>
          </w:p>
        </w:tc>
        <w:tc>
          <w:tcPr>
            <w:tcW w:w="1728" w:type="dxa"/>
          </w:tcPr>
          <w:p w14:paraId="21786D0C" w14:textId="77777777" w:rsidR="00F71E11" w:rsidRDefault="00F71E11" w:rsidP="00607C75">
            <w:pPr>
              <w:pStyle w:val="MPLParapgrah"/>
            </w:pPr>
          </w:p>
          <w:p w14:paraId="23FC3A7B" w14:textId="77777777" w:rsidR="00F71E11" w:rsidRDefault="00607C75" w:rsidP="00607C75">
            <w:pPr>
              <w:pStyle w:val="MPLParapgrah"/>
            </w:pPr>
            <w:r>
              <w:t xml:space="preserve">OHSC </w:t>
            </w:r>
          </w:p>
        </w:tc>
        <w:tc>
          <w:tcPr>
            <w:tcW w:w="1728" w:type="dxa"/>
          </w:tcPr>
          <w:p w14:paraId="1E5C4159" w14:textId="77777777" w:rsidR="00F71E11" w:rsidRDefault="00F71E11" w:rsidP="00607C75">
            <w:pPr>
              <w:pStyle w:val="MPLParapgrah"/>
            </w:pPr>
          </w:p>
          <w:p w14:paraId="5443C3CE" w14:textId="77777777" w:rsidR="00F71E11" w:rsidRDefault="00607C75" w:rsidP="00607C75">
            <w:pPr>
              <w:pStyle w:val="MPLParapgrah"/>
            </w:pPr>
            <w:r>
              <w:t xml:space="preserve">9 May 2012 </w:t>
            </w:r>
          </w:p>
        </w:tc>
        <w:tc>
          <w:tcPr>
            <w:tcW w:w="1728" w:type="dxa"/>
          </w:tcPr>
          <w:p w14:paraId="46BB92D2" w14:textId="77777777" w:rsidR="00F71E11" w:rsidRDefault="00F71E11" w:rsidP="00607C75">
            <w:pPr>
              <w:pStyle w:val="MPLParapgrah"/>
            </w:pPr>
          </w:p>
          <w:p w14:paraId="24FC6C17" w14:textId="77777777" w:rsidR="00F71E11" w:rsidRDefault="00607C75" w:rsidP="00607C75">
            <w:pPr>
              <w:pStyle w:val="MPLParapgrah"/>
            </w:pPr>
            <w:r>
              <w:t xml:space="preserve">18 June 2012 </w:t>
            </w:r>
          </w:p>
        </w:tc>
        <w:tc>
          <w:tcPr>
            <w:tcW w:w="1728" w:type="dxa"/>
          </w:tcPr>
          <w:p w14:paraId="02CB741E" w14:textId="77777777" w:rsidR="00F71E11" w:rsidRDefault="00F71E11" w:rsidP="00607C75">
            <w:pPr>
              <w:pStyle w:val="MPLParapgrah"/>
            </w:pPr>
          </w:p>
          <w:p w14:paraId="52325A7F" w14:textId="77777777" w:rsidR="00F71E11" w:rsidRDefault="00607C75" w:rsidP="00607C75">
            <w:pPr>
              <w:pStyle w:val="MPLParapgrah"/>
            </w:pPr>
            <w:r>
              <w:t xml:space="preserve">Revised format </w:t>
            </w:r>
          </w:p>
          <w:p w14:paraId="70C68B6F" w14:textId="77777777" w:rsidR="00F71E11" w:rsidRDefault="00607C75" w:rsidP="00607C75">
            <w:pPr>
              <w:pStyle w:val="MPLParapgrah"/>
            </w:pPr>
            <w:r>
              <w:lastRenderedPageBreak/>
              <w:t xml:space="preserve">Minor punctuation changes </w:t>
            </w:r>
          </w:p>
        </w:tc>
      </w:tr>
      <w:tr w:rsidR="00F71E11" w14:paraId="1A6481D7" w14:textId="77777777">
        <w:tc>
          <w:tcPr>
            <w:tcW w:w="1728" w:type="dxa"/>
          </w:tcPr>
          <w:p w14:paraId="2E9B9F00" w14:textId="77777777" w:rsidR="00F71E11" w:rsidRDefault="00F71E11" w:rsidP="00607C75">
            <w:pPr>
              <w:pStyle w:val="MPLParapgrah"/>
            </w:pPr>
          </w:p>
          <w:p w14:paraId="232F94AD" w14:textId="77777777" w:rsidR="00F71E11" w:rsidRDefault="00607C75" w:rsidP="00607C75">
            <w:pPr>
              <w:pStyle w:val="MPLParapgrah"/>
            </w:pPr>
            <w:r>
              <w:t xml:space="preserve">1 </w:t>
            </w:r>
          </w:p>
        </w:tc>
        <w:tc>
          <w:tcPr>
            <w:tcW w:w="1728" w:type="dxa"/>
          </w:tcPr>
          <w:p w14:paraId="736763DF" w14:textId="77777777" w:rsidR="00F71E11" w:rsidRDefault="00F71E11" w:rsidP="00607C75">
            <w:pPr>
              <w:pStyle w:val="MPLParapgrah"/>
            </w:pPr>
          </w:p>
          <w:p w14:paraId="606F5699" w14:textId="77777777" w:rsidR="00F71E11" w:rsidRDefault="00607C75" w:rsidP="00607C75">
            <w:pPr>
              <w:pStyle w:val="MPLParapgrah"/>
            </w:pPr>
            <w:r>
              <w:t xml:space="preserve">Senior Vice Principal </w:t>
            </w:r>
          </w:p>
        </w:tc>
        <w:tc>
          <w:tcPr>
            <w:tcW w:w="1728" w:type="dxa"/>
          </w:tcPr>
          <w:p w14:paraId="2A5A1DB3" w14:textId="77777777" w:rsidR="00F71E11" w:rsidRDefault="00F71E11" w:rsidP="00607C75">
            <w:pPr>
              <w:pStyle w:val="MPLParapgrah"/>
            </w:pPr>
          </w:p>
          <w:p w14:paraId="5E322801" w14:textId="77777777" w:rsidR="00F71E11" w:rsidRDefault="00607C75" w:rsidP="00607C75">
            <w:pPr>
              <w:pStyle w:val="MPLParapgrah"/>
            </w:pPr>
            <w:r>
              <w:t xml:space="preserve">28 June 2012 </w:t>
            </w:r>
          </w:p>
        </w:tc>
        <w:tc>
          <w:tcPr>
            <w:tcW w:w="1728" w:type="dxa"/>
          </w:tcPr>
          <w:p w14:paraId="45358F3F" w14:textId="77777777" w:rsidR="00F71E11" w:rsidRDefault="00F71E11" w:rsidP="00607C75">
            <w:pPr>
              <w:pStyle w:val="MPLParapgrah"/>
            </w:pPr>
          </w:p>
          <w:p w14:paraId="32C53868" w14:textId="77777777" w:rsidR="00F71E11" w:rsidRDefault="00607C75" w:rsidP="00607C75">
            <w:pPr>
              <w:pStyle w:val="MPLParapgrah"/>
            </w:pPr>
            <w:r>
              <w:t xml:space="preserve">28 June 2012 </w:t>
            </w:r>
          </w:p>
        </w:tc>
        <w:tc>
          <w:tcPr>
            <w:tcW w:w="1728" w:type="dxa"/>
          </w:tcPr>
          <w:p w14:paraId="5311C36C" w14:textId="77777777" w:rsidR="00F71E11" w:rsidRDefault="00F71E11" w:rsidP="00607C75">
            <w:pPr>
              <w:pStyle w:val="MPLParapgrah"/>
            </w:pPr>
          </w:p>
          <w:p w14:paraId="6B82F7AC" w14:textId="77777777" w:rsidR="00F71E11" w:rsidRDefault="00607C75" w:rsidP="00607C75">
            <w:pPr>
              <w:pStyle w:val="MPLParapgrah"/>
            </w:pPr>
            <w:r>
              <w:t xml:space="preserve">New version arising from the Policy Simplification Project. Loaded into MPL as Version 1. </w:t>
            </w:r>
          </w:p>
        </w:tc>
      </w:tr>
      <w:tr w:rsidR="00F71E11" w14:paraId="3218551A" w14:textId="77777777">
        <w:tc>
          <w:tcPr>
            <w:tcW w:w="1728" w:type="dxa"/>
          </w:tcPr>
          <w:p w14:paraId="1CD5CE6E" w14:textId="77777777" w:rsidR="00F71E11" w:rsidRDefault="00F71E11" w:rsidP="00607C75">
            <w:pPr>
              <w:pStyle w:val="MPLParapgrah"/>
            </w:pPr>
          </w:p>
          <w:p w14:paraId="515D03B6" w14:textId="77777777" w:rsidR="00F71E11" w:rsidRDefault="00607C75" w:rsidP="00607C75">
            <w:pPr>
              <w:pStyle w:val="MPLParapgrah"/>
            </w:pPr>
            <w:r>
              <w:t xml:space="preserve">2 and 3 </w:t>
            </w:r>
          </w:p>
        </w:tc>
        <w:tc>
          <w:tcPr>
            <w:tcW w:w="1728" w:type="dxa"/>
          </w:tcPr>
          <w:p w14:paraId="78644E55" w14:textId="77777777" w:rsidR="00F71E11" w:rsidRDefault="00607C75" w:rsidP="00607C75">
            <w:pPr>
              <w:pStyle w:val="MPLParapgrah"/>
            </w:pPr>
            <w:r>
              <w:t xml:space="preserve">- </w:t>
            </w:r>
          </w:p>
        </w:tc>
        <w:tc>
          <w:tcPr>
            <w:tcW w:w="1728" w:type="dxa"/>
          </w:tcPr>
          <w:p w14:paraId="3B1DFE54" w14:textId="77777777" w:rsidR="00F71E11" w:rsidRDefault="00F71E11" w:rsidP="00607C75">
            <w:pPr>
              <w:pStyle w:val="MPLParapgrah"/>
            </w:pPr>
          </w:p>
          <w:p w14:paraId="08B2A247" w14:textId="77777777" w:rsidR="00F71E11" w:rsidRDefault="00607C75" w:rsidP="00607C75">
            <w:pPr>
              <w:pStyle w:val="MPLParapgrah"/>
            </w:pPr>
            <w:r>
              <w:t xml:space="preserve">- </w:t>
            </w:r>
          </w:p>
        </w:tc>
        <w:tc>
          <w:tcPr>
            <w:tcW w:w="1728" w:type="dxa"/>
          </w:tcPr>
          <w:p w14:paraId="48083564" w14:textId="77777777" w:rsidR="00F71E11" w:rsidRDefault="00F71E11" w:rsidP="00607C75">
            <w:pPr>
              <w:pStyle w:val="MPLParapgrah"/>
            </w:pPr>
          </w:p>
          <w:p w14:paraId="7DF50E9F" w14:textId="77777777" w:rsidR="00F71E11" w:rsidRDefault="00607C75" w:rsidP="00607C75">
            <w:pPr>
              <w:pStyle w:val="MPLParapgrah"/>
            </w:pPr>
            <w:r>
              <w:t xml:space="preserve">- </w:t>
            </w:r>
          </w:p>
        </w:tc>
        <w:tc>
          <w:tcPr>
            <w:tcW w:w="1728" w:type="dxa"/>
          </w:tcPr>
          <w:p w14:paraId="3D3EED09" w14:textId="77777777" w:rsidR="00F71E11" w:rsidRDefault="00607C75" w:rsidP="00607C75">
            <w:pPr>
              <w:pStyle w:val="MPLParapgrah"/>
            </w:pPr>
            <w:r>
              <w:t xml:space="preserve">Version 2 and 3 created in error. </w:t>
            </w:r>
          </w:p>
        </w:tc>
      </w:tr>
      <w:tr w:rsidR="00F71E11" w14:paraId="5A4F4983" w14:textId="77777777">
        <w:tc>
          <w:tcPr>
            <w:tcW w:w="1728" w:type="dxa"/>
          </w:tcPr>
          <w:p w14:paraId="6A859053" w14:textId="77777777" w:rsidR="00F71E11" w:rsidRDefault="00607C75" w:rsidP="00607C75">
            <w:pPr>
              <w:pStyle w:val="MPLParapgrah"/>
            </w:pPr>
            <w:r>
              <w:t xml:space="preserve">4 </w:t>
            </w:r>
          </w:p>
        </w:tc>
        <w:tc>
          <w:tcPr>
            <w:tcW w:w="1728" w:type="dxa"/>
          </w:tcPr>
          <w:p w14:paraId="20FE9DBD" w14:textId="77777777" w:rsidR="00F71E11" w:rsidRDefault="00607C75" w:rsidP="00607C75">
            <w:pPr>
              <w:pStyle w:val="MPLParapgrah"/>
            </w:pPr>
            <w:r>
              <w:t xml:space="preserve">Vice Principal, Administration &amp; Finance and CFO </w:t>
            </w:r>
          </w:p>
        </w:tc>
        <w:tc>
          <w:tcPr>
            <w:tcW w:w="1728" w:type="dxa"/>
          </w:tcPr>
          <w:p w14:paraId="62F6307A" w14:textId="77777777" w:rsidR="00F71E11" w:rsidRDefault="00607C75" w:rsidP="00607C75">
            <w:pPr>
              <w:pStyle w:val="MPLParapgrah"/>
            </w:pPr>
            <w:r>
              <w:t xml:space="preserve">23 June 2016 </w:t>
            </w:r>
          </w:p>
        </w:tc>
        <w:tc>
          <w:tcPr>
            <w:tcW w:w="1728" w:type="dxa"/>
          </w:tcPr>
          <w:p w14:paraId="19AEA9D7" w14:textId="77777777" w:rsidR="00F71E11" w:rsidRDefault="00607C75" w:rsidP="00607C75">
            <w:pPr>
              <w:pStyle w:val="MPLParapgrah"/>
            </w:pPr>
            <w:r>
              <w:t xml:space="preserve">21 July 2016 </w:t>
            </w:r>
          </w:p>
        </w:tc>
        <w:tc>
          <w:tcPr>
            <w:tcW w:w="1728" w:type="dxa"/>
          </w:tcPr>
          <w:p w14:paraId="5CB657B3" w14:textId="77777777" w:rsidR="00F71E11" w:rsidRDefault="00607C75" w:rsidP="00607C75">
            <w:pPr>
              <w:pStyle w:val="MPLParapgrah"/>
            </w:pPr>
            <w:r>
              <w:t>New version arising from the Policy Consolidation Project. This policy and its supporting processes replace the former Occupational Health and Safety Policy MPF1205, OHS Communication Procedure MPF1183, OHS Consultative Arrangements Procedure MPF1184, OHS Documents Procedure MPF1885, OHS Incident, Injury, Hazard Reporting and Investigation Procedure MPF1206, OHS Issue Resolution Procedure MPF1186, OHS Management System Review and Audit Procedure MPF1187, OHS Plans Procedure MPF1188, OHS Representation and C</w:t>
            </w:r>
            <w:r>
              <w:t xml:space="preserve">ommittees Procedure MPF1189, OHS </w:t>
            </w:r>
            <w:r>
              <w:lastRenderedPageBreak/>
              <w:t xml:space="preserve">Responsibilities and Legal Requirements Procedure MPF1190, OHS Risk Management Procedure MPF1191, OHS Training Procedure MPF1192. </w:t>
            </w:r>
          </w:p>
        </w:tc>
      </w:tr>
      <w:tr w:rsidR="00F71E11" w14:paraId="3A16D032" w14:textId="77777777">
        <w:tc>
          <w:tcPr>
            <w:tcW w:w="1728" w:type="dxa"/>
          </w:tcPr>
          <w:p w14:paraId="2EC41E7A" w14:textId="77777777" w:rsidR="00F71E11" w:rsidRDefault="00607C75" w:rsidP="00607C75">
            <w:pPr>
              <w:pStyle w:val="MPLParapgrah"/>
            </w:pPr>
            <w:r>
              <w:lastRenderedPageBreak/>
              <w:t xml:space="preserve">5 </w:t>
            </w:r>
          </w:p>
        </w:tc>
        <w:tc>
          <w:tcPr>
            <w:tcW w:w="1728" w:type="dxa"/>
          </w:tcPr>
          <w:p w14:paraId="34D1F9C6" w14:textId="77777777" w:rsidR="00F71E11" w:rsidRDefault="00607C75" w:rsidP="00607C75">
            <w:pPr>
              <w:pStyle w:val="MPLParapgrah"/>
            </w:pPr>
            <w:r>
              <w:t xml:space="preserve">Vice-Chancellor </w:t>
            </w:r>
          </w:p>
        </w:tc>
        <w:tc>
          <w:tcPr>
            <w:tcW w:w="1728" w:type="dxa"/>
          </w:tcPr>
          <w:p w14:paraId="7667F765" w14:textId="77777777" w:rsidR="00F71E11" w:rsidRDefault="00607C75" w:rsidP="00607C75">
            <w:pPr>
              <w:pStyle w:val="MPLParapgrah"/>
            </w:pPr>
            <w:r>
              <w:t xml:space="preserve">7 March 2019 </w:t>
            </w:r>
          </w:p>
        </w:tc>
        <w:tc>
          <w:tcPr>
            <w:tcW w:w="1728" w:type="dxa"/>
          </w:tcPr>
          <w:p w14:paraId="0D8ACF10" w14:textId="77777777" w:rsidR="00F71E11" w:rsidRDefault="00607C75" w:rsidP="00607C75">
            <w:pPr>
              <w:pStyle w:val="MPLParapgrah"/>
            </w:pPr>
            <w:r>
              <w:t xml:space="preserve">19 August 2019 </w:t>
            </w:r>
          </w:p>
        </w:tc>
        <w:tc>
          <w:tcPr>
            <w:tcW w:w="1728" w:type="dxa"/>
          </w:tcPr>
          <w:p w14:paraId="2136458C" w14:textId="77777777" w:rsidR="00F71E11" w:rsidRDefault="00607C75" w:rsidP="00607C75">
            <w:pPr>
              <w:pStyle w:val="MPLParapgrah"/>
            </w:pPr>
            <w:r>
              <w:t xml:space="preserve">Changed Policy Approver to Vice-President (Strategy &amp; Culture) (previously Vice-Principal, Administration and Finance &amp; CFO). </w:t>
            </w:r>
          </w:p>
        </w:tc>
      </w:tr>
      <w:tr w:rsidR="00F71E11" w14:paraId="706C7A65" w14:textId="77777777">
        <w:tc>
          <w:tcPr>
            <w:tcW w:w="1728" w:type="dxa"/>
          </w:tcPr>
          <w:p w14:paraId="183DDAD2" w14:textId="77777777" w:rsidR="00F71E11" w:rsidRDefault="00607C75" w:rsidP="00607C75">
            <w:pPr>
              <w:pStyle w:val="MPLParapgrah"/>
            </w:pPr>
            <w:r>
              <w:t xml:space="preserve">6 </w:t>
            </w:r>
          </w:p>
        </w:tc>
        <w:tc>
          <w:tcPr>
            <w:tcW w:w="1728" w:type="dxa"/>
          </w:tcPr>
          <w:p w14:paraId="180056CD" w14:textId="77777777" w:rsidR="00F71E11" w:rsidRDefault="00F71E11" w:rsidP="00607C75">
            <w:pPr>
              <w:pStyle w:val="MPLParapgrah"/>
            </w:pPr>
          </w:p>
        </w:tc>
        <w:tc>
          <w:tcPr>
            <w:tcW w:w="1728" w:type="dxa"/>
          </w:tcPr>
          <w:p w14:paraId="600EA5E7" w14:textId="77777777" w:rsidR="00F71E11" w:rsidRDefault="00F71E11" w:rsidP="00607C75">
            <w:pPr>
              <w:pStyle w:val="MPLParapgrah"/>
            </w:pPr>
          </w:p>
        </w:tc>
        <w:tc>
          <w:tcPr>
            <w:tcW w:w="1728" w:type="dxa"/>
          </w:tcPr>
          <w:p w14:paraId="2CFF67EF" w14:textId="77777777" w:rsidR="00F71E11" w:rsidRDefault="00F71E11" w:rsidP="00607C75">
            <w:pPr>
              <w:pStyle w:val="MPLParapgrah"/>
            </w:pPr>
          </w:p>
        </w:tc>
        <w:tc>
          <w:tcPr>
            <w:tcW w:w="1728" w:type="dxa"/>
          </w:tcPr>
          <w:p w14:paraId="5D430D92" w14:textId="77777777" w:rsidR="00F71E11" w:rsidRDefault="00607C75" w:rsidP="00607C75">
            <w:pPr>
              <w:pStyle w:val="MPLParapgrah"/>
            </w:pPr>
            <w:r>
              <w:t xml:space="preserve">Version created in error. </w:t>
            </w:r>
          </w:p>
        </w:tc>
      </w:tr>
      <w:tr w:rsidR="00F71E11" w14:paraId="214F1511" w14:textId="77777777">
        <w:tc>
          <w:tcPr>
            <w:tcW w:w="1728" w:type="dxa"/>
          </w:tcPr>
          <w:p w14:paraId="0CA0652A" w14:textId="77777777" w:rsidR="00F71E11" w:rsidRDefault="00607C75" w:rsidP="00607C75">
            <w:pPr>
              <w:pStyle w:val="MPLParapgrah"/>
            </w:pPr>
            <w:r>
              <w:t xml:space="preserve">7 </w:t>
            </w:r>
          </w:p>
        </w:tc>
        <w:tc>
          <w:tcPr>
            <w:tcW w:w="1728" w:type="dxa"/>
          </w:tcPr>
          <w:p w14:paraId="0055A21A" w14:textId="77777777" w:rsidR="00F71E11" w:rsidRDefault="00607C75" w:rsidP="00607C75">
            <w:pPr>
              <w:pStyle w:val="MPLParapgrah"/>
            </w:pPr>
            <w:r>
              <w:t xml:space="preserve">Director, </w:t>
            </w:r>
            <w:proofErr w:type="gramStart"/>
            <w:r>
              <w:t>Health</w:t>
            </w:r>
            <w:proofErr w:type="gramEnd"/>
            <w:r>
              <w:t xml:space="preserve"> and Safety </w:t>
            </w:r>
          </w:p>
        </w:tc>
        <w:tc>
          <w:tcPr>
            <w:tcW w:w="1728" w:type="dxa"/>
          </w:tcPr>
          <w:p w14:paraId="70386881" w14:textId="77777777" w:rsidR="00F71E11" w:rsidRDefault="00607C75" w:rsidP="00607C75">
            <w:pPr>
              <w:pStyle w:val="MPLParapgrah"/>
            </w:pPr>
            <w:r>
              <w:t xml:space="preserve">14 Apr 2021 </w:t>
            </w:r>
          </w:p>
        </w:tc>
        <w:tc>
          <w:tcPr>
            <w:tcW w:w="1728" w:type="dxa"/>
          </w:tcPr>
          <w:p w14:paraId="3F0E0B62" w14:textId="77777777" w:rsidR="00F71E11" w:rsidRDefault="00607C75" w:rsidP="00607C75">
            <w:pPr>
              <w:pStyle w:val="MPLParapgrah"/>
            </w:pPr>
            <w:r>
              <w:t xml:space="preserve">10 May 2021 </w:t>
            </w:r>
          </w:p>
        </w:tc>
        <w:tc>
          <w:tcPr>
            <w:tcW w:w="1728" w:type="dxa"/>
          </w:tcPr>
          <w:p w14:paraId="18D793D5" w14:textId="77777777" w:rsidR="00F71E11" w:rsidRDefault="00607C75" w:rsidP="00607C75">
            <w:pPr>
              <w:pStyle w:val="MPLParapgrah"/>
            </w:pPr>
            <w:r>
              <w:t xml:space="preserve">Policy Steward title updated, and major review date updated as major review requirements have been satisfied. Substantial review deferred until 2024. </w:t>
            </w:r>
          </w:p>
        </w:tc>
      </w:tr>
      <w:tr w:rsidR="00607C75" w14:paraId="0A5E3D53" w14:textId="77777777" w:rsidTr="00607C75">
        <w:tc>
          <w:tcPr>
            <w:tcW w:w="1728" w:type="dxa"/>
            <w:hideMark/>
          </w:tcPr>
          <w:p w14:paraId="1C8140C9" w14:textId="54FBFE04" w:rsidR="00607C75" w:rsidRDefault="00607C75">
            <w:pPr>
              <w:spacing w:after="120"/>
              <w:rPr>
                <w:rFonts w:ascii="Source Sans Pro" w:hAnsi="Source Sans Pro"/>
              </w:rPr>
            </w:pPr>
            <w:r>
              <w:rPr>
                <w:rFonts w:ascii="Source Sans Pro" w:hAnsi="Source Sans Pro"/>
              </w:rPr>
              <w:t>8</w:t>
            </w:r>
          </w:p>
        </w:tc>
        <w:tc>
          <w:tcPr>
            <w:tcW w:w="1728" w:type="dxa"/>
            <w:hideMark/>
          </w:tcPr>
          <w:p w14:paraId="259F25FB" w14:textId="77777777" w:rsidR="00607C75" w:rsidRDefault="00607C75">
            <w:pPr>
              <w:spacing w:after="120"/>
              <w:rPr>
                <w:rFonts w:ascii="Source Sans Pro" w:eastAsiaTheme="minorHAnsi" w:hAnsi="Source Sans Pro" w:cs="Calibri"/>
              </w:rPr>
            </w:pPr>
            <w:r>
              <w:rPr>
                <w:rFonts w:ascii="Source Sans Pro" w:hAnsi="Source Sans Pro"/>
                <w:color w:val="212529"/>
                <w:shd w:val="clear" w:color="auto" w:fill="FFFFFF"/>
              </w:rPr>
              <w:t>Vice-President Administration &amp; Finance and Chief Operating Officer</w:t>
            </w:r>
          </w:p>
        </w:tc>
        <w:tc>
          <w:tcPr>
            <w:tcW w:w="1728" w:type="dxa"/>
            <w:hideMark/>
          </w:tcPr>
          <w:p w14:paraId="6580C22F" w14:textId="77777777" w:rsidR="00607C75" w:rsidRDefault="00607C75">
            <w:pPr>
              <w:spacing w:after="120"/>
              <w:rPr>
                <w:rFonts w:ascii="Source Sans Pro" w:hAnsi="Source Sans Pro"/>
              </w:rPr>
            </w:pPr>
            <w:r>
              <w:rPr>
                <w:rFonts w:ascii="Source Sans Pro" w:hAnsi="Source Sans Pro"/>
              </w:rPr>
              <w:t>10 August 2023</w:t>
            </w:r>
          </w:p>
        </w:tc>
        <w:tc>
          <w:tcPr>
            <w:tcW w:w="1728" w:type="dxa"/>
            <w:hideMark/>
          </w:tcPr>
          <w:p w14:paraId="17A6612A" w14:textId="77777777" w:rsidR="00607C75" w:rsidRDefault="00607C75">
            <w:pPr>
              <w:spacing w:after="120"/>
              <w:rPr>
                <w:rFonts w:ascii="Source Sans Pro" w:hAnsi="Source Sans Pro"/>
              </w:rPr>
            </w:pPr>
            <w:r>
              <w:rPr>
                <w:rFonts w:ascii="Source Sans Pro" w:hAnsi="Source Sans Pro"/>
              </w:rPr>
              <w:t>28 November 2023</w:t>
            </w:r>
          </w:p>
        </w:tc>
        <w:tc>
          <w:tcPr>
            <w:tcW w:w="1728" w:type="dxa"/>
            <w:hideMark/>
          </w:tcPr>
          <w:p w14:paraId="64EA44CC" w14:textId="77777777" w:rsidR="00607C75" w:rsidRDefault="00607C75">
            <w:pPr>
              <w:spacing w:after="120"/>
              <w:rPr>
                <w:rFonts w:ascii="Source Sans Pro" w:hAnsi="Source Sans Pro"/>
              </w:rPr>
            </w:pPr>
            <w:r>
              <w:rPr>
                <w:rFonts w:ascii="Source Sans Pro" w:hAnsi="Source Sans Pro"/>
              </w:rPr>
              <w:t xml:space="preserve">Policy Approver updated to reflect retirement of Vice-President (Strategy &amp; Culture) role. </w:t>
            </w:r>
          </w:p>
        </w:tc>
      </w:tr>
    </w:tbl>
    <w:p w14:paraId="71E7F9F9" w14:textId="77777777" w:rsidR="00F71E11" w:rsidRDefault="00F71E11"/>
    <w:p w14:paraId="707551B8" w14:textId="624CD071" w:rsidR="00607C75" w:rsidRPr="003D00E3" w:rsidRDefault="00607C75" w:rsidP="00607C75">
      <w:pPr>
        <w:pStyle w:val="MPFSubheading"/>
      </w:pPr>
      <w:r>
        <w:softHyphen/>
      </w:r>
      <w:r>
        <w:softHyphen/>
      </w:r>
    </w:p>
    <w:p w14:paraId="3CFFE43A" w14:textId="77777777" w:rsidR="00607C75" w:rsidRDefault="00607C75"/>
    <w:sectPr w:rsidR="00607C75" w:rsidSect="00034616">
      <w:footerReference w:type="default" r:id="rId1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16DA" w14:textId="77777777" w:rsidR="00607C75" w:rsidRDefault="00607C75">
      <w:pPr>
        <w:spacing w:after="0" w:line="240" w:lineRule="auto"/>
      </w:pPr>
      <w:r>
        <w:separator/>
      </w:r>
    </w:p>
  </w:endnote>
  <w:endnote w:type="continuationSeparator" w:id="0">
    <w:p w14:paraId="03297766" w14:textId="77777777" w:rsidR="00607C75" w:rsidRDefault="0060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55B" w14:textId="77777777" w:rsidR="00F71E11" w:rsidRDefault="00607C75">
    <w:pPr>
      <w:pStyle w:val="Foote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0A09" w14:textId="77777777" w:rsidR="00607C75" w:rsidRDefault="00607C75">
      <w:pPr>
        <w:spacing w:after="0" w:line="240" w:lineRule="auto"/>
      </w:pPr>
      <w:r>
        <w:separator/>
      </w:r>
    </w:p>
  </w:footnote>
  <w:footnote w:type="continuationSeparator" w:id="0">
    <w:p w14:paraId="3AC522B4" w14:textId="77777777" w:rsidR="00607C75" w:rsidRDefault="0060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CB36904C"/>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4798929">
    <w:abstractNumId w:val="8"/>
  </w:num>
  <w:num w:numId="2" w16cid:durableId="1319111910">
    <w:abstractNumId w:val="6"/>
  </w:num>
  <w:num w:numId="3" w16cid:durableId="1052660009">
    <w:abstractNumId w:val="5"/>
  </w:num>
  <w:num w:numId="4" w16cid:durableId="1046178316">
    <w:abstractNumId w:val="4"/>
  </w:num>
  <w:num w:numId="5" w16cid:durableId="239490455">
    <w:abstractNumId w:val="7"/>
  </w:num>
  <w:num w:numId="6" w16cid:durableId="1551110230">
    <w:abstractNumId w:val="3"/>
  </w:num>
  <w:num w:numId="7" w16cid:durableId="461777482">
    <w:abstractNumId w:val="2"/>
  </w:num>
  <w:num w:numId="8" w16cid:durableId="1780249193">
    <w:abstractNumId w:val="1"/>
  </w:num>
  <w:num w:numId="9" w16cid:durableId="296181842">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607C75"/>
    <w:rsid w:val="00AA1D8D"/>
    <w:rsid w:val="00B47730"/>
    <w:rsid w:val="00CB0664"/>
    <w:rsid w:val="00F71E1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26101"/>
  <w14:defaultImageDpi w14:val="300"/>
  <w15:docId w15:val="{A84432FC-AA7F-4541-BCA6-FB8D104B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607C75"/>
    <w:rPr>
      <w:color w:val="0000FF" w:themeColor="hyperlink"/>
      <w:u w:val="single"/>
    </w:rPr>
  </w:style>
  <w:style w:type="paragraph" w:customStyle="1" w:styleId="MPLParagraphlevel1">
    <w:name w:val="MPL Paragraph level 1"/>
    <w:basedOn w:val="ListParagraph"/>
    <w:qFormat/>
    <w:rsid w:val="00607C75"/>
    <w:pPr>
      <w:numPr>
        <w:ilvl w:val="1"/>
        <w:numId w:val="10"/>
      </w:numPr>
      <w:spacing w:afterLines="50" w:after="120"/>
      <w:contextualSpacing w:val="0"/>
    </w:pPr>
    <w:rPr>
      <w:rFonts w:ascii="Source Sans Pro" w:hAnsi="Source Sans Pro" w:cs="Arial" w:asciiTheme="Source Sans Pro"/>
      <w:sz w:val="20"/>
    </w:rPr>
  </w:style>
  <w:style w:type="paragraph" w:customStyle="1" w:styleId="MPLHeading1">
    <w:name w:val="MPL Heading 1"/>
    <w:basedOn w:val="Heading2"/>
    <w:qFormat/>
    <w:rsid w:val="00607C75"/>
    <w:pPr>
      <w:numPr>
        <w:numId w:val="10"/>
      </w:numPr>
      <w:tabs>
        <w:tab w:val="num" w:pos="360"/>
      </w:tabs>
      <w:spacing w:afterLines="50" w:after="120"/>
    </w:pPr>
    <w:rPr>
      <w:rFonts w:ascii="Source Sans Pro" w:hAnsi="Source Sans Pro" w:cs="Arial" w:asciiTheme="Source Sans Pro"/>
      <w:color w:val="000F46"/>
      <w:sz w:val="32"/>
    </w:rPr>
  </w:style>
  <w:style w:type="paragraph" w:customStyle="1" w:styleId="MPLParagraphlevel2">
    <w:name w:val="MPL Paragraph level 2"/>
    <w:basedOn w:val="ListParagraph"/>
    <w:qFormat/>
    <w:rsid w:val="00607C75"/>
    <w:pPr>
      <w:numPr>
        <w:ilvl w:val="2"/>
        <w:numId w:val="10"/>
      </w:numPr>
      <w:tabs>
        <w:tab w:val="num" w:pos="360"/>
      </w:tabs>
    </w:pPr>
    <w:rPr>
      <w:rFonts w:ascii="Source Sans Pro" w:hAnsi="Source Sans Pro" w:cs="Arial" w:asciiTheme="Source Sans Pro"/>
      <w:sz w:val="20"/>
    </w:rPr>
  </w:style>
  <w:style w:type="paragraph" w:customStyle="1" w:styleId="MPLParagraphlevel3">
    <w:name w:val="MPL Paragraph level 3"/>
    <w:basedOn w:val="ListParagraph"/>
    <w:qFormat/>
    <w:rsid w:val="00607C75"/>
    <w:pPr>
      <w:numPr>
        <w:ilvl w:val="3"/>
        <w:numId w:val="10"/>
      </w:numPr>
      <w:tabs>
        <w:tab w:val="num" w:pos="360"/>
      </w:tabs>
      <w:spacing w:before="120" w:after="120"/>
      <w:ind w:left="720" w:firstLine="6"/>
    </w:pPr>
    <w:rPr>
      <w:rFonts w:ascii="Source Sans Pro" w:hAnsi="Source Sans Pro" w:cs="Arial" w:asciiTheme="Source Sans Pro"/>
      <w:sz w:val="20"/>
    </w:rPr>
  </w:style>
  <w:style w:type="paragraph" w:customStyle="1" w:styleId="MPLParagraphlevel4">
    <w:name w:val="MPL Paragraph level 4"/>
    <w:basedOn w:val="ListParagraph"/>
    <w:qFormat/>
    <w:rsid w:val="00607C75"/>
    <w:pPr>
      <w:numPr>
        <w:ilvl w:val="4"/>
        <w:numId w:val="10"/>
      </w:numPr>
      <w:tabs>
        <w:tab w:val="num" w:pos="360"/>
      </w:tabs>
      <w:spacing w:afterLines="50" w:after="120"/>
      <w:ind w:left="720"/>
    </w:pPr>
    <w:rPr>
      <w:rFonts w:ascii="Source Sans Pro" w:hAnsi="Source Sans Pro" w:cs="Arial" w:asciiTheme="Source Sans Pro"/>
      <w:sz w:val="20"/>
    </w:rPr>
  </w:style>
  <w:style w:type="paragraph" w:customStyle="1" w:styleId="MPFSubheading">
    <w:name w:val="MPF Subheading"/>
    <w:basedOn w:val="Heading3"/>
    <w:qFormat/>
    <w:rsid w:val="00607C75"/>
    <w:pPr>
      <w:spacing w:afterLines="50" w:after="120"/>
    </w:pPr>
    <w:rPr>
      <w:rFonts w:ascii="Source Sans Pro" w:hAnsi="Source Sans Pro" w:cs="Arial" w:asciiTheme="Source Sans Pro"/>
      <w:color w:val="000F46"/>
      <w:sz w:val="28"/>
    </w:rPr>
  </w:style>
  <w:style w:type="paragraph" w:customStyle="1" w:styleId="MPLParapgrah">
    <w:name w:val="MPL Parapgrah"/>
    <w:basedOn w:val="Normal"/>
    <w:qFormat/>
    <w:rsid w:val="00607C75"/>
    <w:rPr>
      <w:rFonts w:ascii="Source Sans Pro" w:hAnsi="Source Sans Pro" w:cs="Arial"/>
      <w:lang w:val="en-AU"/>
    </w:rPr>
  </w:style>
  <w:style w:type="paragraph" w:customStyle="1" w:styleId="MPLNoNumberingHeadings">
    <w:name w:val="MPL No Numbering Headings"/>
    <w:basedOn w:val="Heading2"/>
    <w:qFormat/>
    <w:rsid w:val="00607C75"/>
    <w:rPr>
      <w:rFonts w:ascii="Source Sans Pro" w:hAnsi="Source Sans Pro" w:cs="Arial" w:asciiTheme="Source Sans Pro"/>
      <w:color w:val="000F4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185">
      <w:bodyDiv w:val="1"/>
      <w:marLeft w:val="0"/>
      <w:marRight w:val="0"/>
      <w:marTop w:val="0"/>
      <w:marBottom w:val="0"/>
      <w:divBdr>
        <w:top w:val="none" w:sz="0" w:space="0" w:color="auto"/>
        <w:left w:val="none" w:sz="0" w:space="0" w:color="auto"/>
        <w:bottom w:val="none" w:sz="0" w:space="0" w:color="auto"/>
        <w:right w:val="none" w:sz="0" w:space="0" w:color="auto"/>
      </w:divBdr>
    </w:div>
    <w:div w:id="1205941934">
      <w:bodyDiv w:val="1"/>
      <w:marLeft w:val="0"/>
      <w:marRight w:val="0"/>
      <w:marTop w:val="0"/>
      <w:marBottom w:val="0"/>
      <w:divBdr>
        <w:top w:val="none" w:sz="0" w:space="0" w:color="auto"/>
        <w:left w:val="none" w:sz="0" w:space="0" w:color="auto"/>
        <w:bottom w:val="none" w:sz="0" w:space="0" w:color="auto"/>
        <w:right w:val="none" w:sz="0" w:space="0" w:color="auto"/>
      </w:divBdr>
    </w:div>
    <w:div w:id="163829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promapp.com/unimelb/Process/Group/a323fea9-8a11-4f37-9f22-623ece4eac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melb.edu.au/governance/statutes"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fontTable" Target="fontTable.xml"/><Relationship Id="rId16" Type="http://schemas.openxmlformats.org/officeDocument/2006/relationships/hyperlink" Target="https://policy.unimelb.edu.au/category/Health and 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2</cp:revision>
  <dcterms:created xsi:type="dcterms:W3CDTF">2023-11-27T23:12:00Z</dcterms:created>
  <dcterms:modified xsi:type="dcterms:W3CDTF">2023-11-27T23:12:00Z</dcterms:modified>
  <cp:category/>
</cp:coreProperties>
</file>