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Risk Management Policy (MPF1194)</w:t>
      </w:r>
    </w:p>
    <w:p>
      <w:r/>
    </w:p>
    <w:p>
      <w:r>
        <w:rPr>
          <w:rFonts w:ascii="Source Sans Pro" w:hAnsi="Source Sans Pro"/>
          <w:b/>
          <w:sz w:val="20"/>
        </w:rPr>
        <w:t xml:space="preserve">Category: </w:t>
      </w:r>
      <w:r/>
      <w:hyperlink r:id="rId26">
        <w:r>
          <w:rPr>
            <w:color w:val="0000FF"/>
            <w:u w:val="single"/>
          </w:rPr>
          <w:t xml:space="preserve"> Governance and Management </w:t>
        </w:r>
      </w:hyperlink>
      <w:r/>
      <w:r>
        <w:br/>
      </w:r>
      <w:r>
        <w:rPr>
          <w:rFonts w:ascii="Source Sans Pro" w:hAnsi="Source Sans Pro"/>
          <w:b/>
          <w:sz w:val="20"/>
        </w:rPr>
        <w:t xml:space="preserve">Version: </w:t>
      </w:r>
      <w:r>
        <w:rPr>
          <w:rFonts w:ascii="Source Sans Pro" w:hAnsi="Source Sans Pro"/>
          <w:sz w:val="20"/>
        </w:rPr>
        <w:t>11</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15 October, 2024</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16 October, 2024</w:t>
        <w:br/>
      </w:r>
      <w:r>
        <w:rPr>
          <w:rFonts w:ascii="Source Sans Pro" w:hAnsi="Source Sans Pro"/>
          <w:b/>
          <w:sz w:val="20"/>
        </w:rPr>
        <w:t xml:space="preserve">Review due by: </w:t>
      </w:r>
      <w:r>
        <w:rPr>
          <w:rFonts w:ascii="Source Sans Pro" w:hAnsi="Source Sans Pro"/>
          <w:sz w:val="20"/>
        </w:rPr>
        <w:t>03 December, 2025</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General Counsel And Executive Director, Legal And Risk</w:t>
        <w:br/>
      </w:r>
      <w:r>
        <w:rPr>
          <w:rFonts w:ascii="Source Sans Pro" w:hAnsi="Source Sans Pro"/>
          <w:b/>
          <w:sz w:val="20"/>
        </w:rPr>
        <w:t xml:space="preserve">Supporting Process: </w:t>
      </w:r>
      <w:r/>
      <w:r>
        <w:br/>
      </w:r>
      <w:hyperlink r:id="rId27">
        <w:r>
          <w:rPr>
            <w:color w:val="0000FF"/>
            <w:u w:val="single"/>
          </w:rPr>
          <w:t>Governance and Management Processes</w:t>
        </w:r>
      </w:hyperlink>
      <w:r/>
      <w:r>
        <w:br/>
      </w:r>
    </w:p>
    <w:p w14:paraId="095953D4" w14:textId="77777777" w:rsidR="00974657" w:rsidRDefault="00974657" w:rsidP="00747F8A">
      <w:pPr>
        <w:pStyle w:val="MPLHeading1"/>
      </w:pPr>
      <w:r>
        <w:t>Objective</w:t>
      </w:r>
    </w:p>
    <w:p w14:paraId="42F1A111" w14:textId="77777777" w:rsidR="00974657" w:rsidRDefault="00974657" w:rsidP="00747F8A">
      <w:pPr>
        <w:pStyle w:val="MPLParagraphlevel1"/>
      </w:pPr>
      <w:r>
        <w:t>The objectives of this policy are to:</w:t>
      </w:r>
    </w:p>
    <w:p w14:paraId="4ABCD3BB" w14:textId="77777777" w:rsidR="00974657" w:rsidRDefault="00974657" w:rsidP="00747F8A">
      <w:pPr>
        <w:pStyle w:val="MPLParagraphlevel2"/>
      </w:pPr>
      <w:r>
        <w:t xml:space="preserve">outline the University’s approach to risk </w:t>
      </w:r>
      <w:proofErr w:type="gramStart"/>
      <w:r>
        <w:t>management;</w:t>
      </w:r>
      <w:proofErr w:type="gramEnd"/>
    </w:p>
    <w:p w14:paraId="49137C82" w14:textId="77777777" w:rsidR="00C67476" w:rsidRDefault="00974657" w:rsidP="00747F8A">
      <w:pPr>
        <w:pStyle w:val="MPLParagraphlevel2"/>
      </w:pPr>
      <w:r>
        <w:t>align the University with best practice AS/NZS ISO 31000:</w:t>
      </w:r>
      <w:r w:rsidR="00E01B35">
        <w:t xml:space="preserve">2018 </w:t>
      </w:r>
      <w:r>
        <w:t xml:space="preserve">Risk management – </w:t>
      </w:r>
      <w:proofErr w:type="gramStart"/>
      <w:r w:rsidR="00E01B35">
        <w:t>G</w:t>
      </w:r>
      <w:r>
        <w:t>uidelines;</w:t>
      </w:r>
      <w:proofErr w:type="gramEnd"/>
    </w:p>
    <w:p w14:paraId="0B9C5D53" w14:textId="77777777" w:rsidR="00454A18" w:rsidRDefault="00974657" w:rsidP="00747F8A">
      <w:pPr>
        <w:pStyle w:val="MPLParagraphlevel2"/>
      </w:pPr>
      <w:r>
        <w:t xml:space="preserve">establish </w:t>
      </w:r>
      <w:r w:rsidR="00454A18">
        <w:t xml:space="preserve">priorities that </w:t>
      </w:r>
      <w:r w:rsidR="00B14EF0">
        <w:t>enable</w:t>
      </w:r>
      <w:r w:rsidR="00454A18">
        <w:t xml:space="preserve"> the University </w:t>
      </w:r>
      <w:r w:rsidR="00B14EF0">
        <w:t>to</w:t>
      </w:r>
      <w:r w:rsidR="00454A18">
        <w:t xml:space="preserve"> continue to create value and maintain core </w:t>
      </w:r>
      <w:proofErr w:type="gramStart"/>
      <w:r w:rsidR="00454A18">
        <w:t>operations;</w:t>
      </w:r>
      <w:proofErr w:type="gramEnd"/>
      <w:r w:rsidR="00454A18">
        <w:t xml:space="preserve"> </w:t>
      </w:r>
    </w:p>
    <w:p w14:paraId="08B4E151" w14:textId="77777777" w:rsidR="00C67476" w:rsidRDefault="00454A18" w:rsidP="00747F8A">
      <w:pPr>
        <w:pStyle w:val="MPLParagraphlevel2"/>
      </w:pPr>
      <w:r>
        <w:t xml:space="preserve">establish </w:t>
      </w:r>
      <w:r w:rsidR="00974657">
        <w:t>the roles and responsibilities of staff in risk management; and</w:t>
      </w:r>
    </w:p>
    <w:p w14:paraId="1E34A1B1" w14:textId="7222CD48" w:rsidR="00974657" w:rsidRPr="00F13A2D" w:rsidRDefault="00974657" w:rsidP="00C654E6">
      <w:pPr>
        <w:pStyle w:val="MPLParagraphlevel2"/>
        <w:rPr>
          <w:lang w:val="en-AU"/>
        </w:rPr>
      </w:pPr>
      <w:r>
        <w:t xml:space="preserve">affirm the University’s commitment to developing a compliance management framework in line with </w:t>
      </w:r>
      <w:r w:rsidRPr="00CE7F36">
        <w:t xml:space="preserve">AS ISO </w:t>
      </w:r>
      <w:r w:rsidR="000F7F1C">
        <w:t>37301:202</w:t>
      </w:r>
      <w:r w:rsidR="004042FF">
        <w:t>3</w:t>
      </w:r>
      <w:r w:rsidR="00C654E6">
        <w:t xml:space="preserve"> </w:t>
      </w:r>
      <w:r w:rsidR="00C654E6" w:rsidRPr="00C654E6">
        <w:rPr>
          <w:lang w:val="en-AU"/>
        </w:rPr>
        <w:t>Compliance management systems - Requirements with guidance for use</w:t>
      </w:r>
      <w:r>
        <w:t xml:space="preserve">, incorporating a </w:t>
      </w:r>
      <w:r w:rsidR="0057473B">
        <w:t>risk-based</w:t>
      </w:r>
      <w:r>
        <w:t xml:space="preserve"> approach to compliance </w:t>
      </w:r>
      <w:r w:rsidR="009D7F9A">
        <w:t>that supports</w:t>
      </w:r>
      <w:r w:rsidR="00C67476">
        <w:t xml:space="preserve"> </w:t>
      </w:r>
      <w:r>
        <w:t>compliance with</w:t>
      </w:r>
      <w:r w:rsidR="0057473B">
        <w:t xml:space="preserve"> </w:t>
      </w:r>
      <w:r>
        <w:t>legislation and regulation (</w:t>
      </w:r>
      <w:hyperlink r:id="rId14" w:history="1">
        <w:r w:rsidRPr="00D42DCB">
          <w:rPr>
            <w:rStyle w:val="Hyperlink"/>
          </w:rPr>
          <w:t>University’s Regulatory Framework</w:t>
        </w:r>
      </w:hyperlink>
      <w:r>
        <w:t>)</w:t>
      </w:r>
      <w:r w:rsidR="00C67476">
        <w:t>.</w:t>
      </w:r>
    </w:p>
    <w:p w14:paraId="642BBECB" w14:textId="77777777" w:rsidR="00974657" w:rsidRDefault="00974657" w:rsidP="00747F8A">
      <w:pPr>
        <w:pStyle w:val="MPLHeading1"/>
      </w:pPr>
      <w:r>
        <w:t>Scope</w:t>
      </w:r>
    </w:p>
    <w:p w14:paraId="7D435420" w14:textId="77777777" w:rsidR="00974657" w:rsidRDefault="00974657" w:rsidP="00747F8A">
      <w:pPr>
        <w:pStyle w:val="MPLParagraphlevel1"/>
      </w:pPr>
      <w:r>
        <w:t xml:space="preserve">This policy applies to staff and honorary appointees of the University, and to people </w:t>
      </w:r>
      <w:proofErr w:type="spellStart"/>
      <w:r>
        <w:t>authorised</w:t>
      </w:r>
      <w:proofErr w:type="spellEnd"/>
      <w:r>
        <w:t xml:space="preserve"> to undertake University business. </w:t>
      </w:r>
    </w:p>
    <w:p w14:paraId="1AFF3C6C" w14:textId="77777777" w:rsidR="00974657" w:rsidRDefault="00974657" w:rsidP="00747F8A">
      <w:pPr>
        <w:pStyle w:val="MPLHeading1"/>
      </w:pPr>
      <w:r>
        <w:t>Authority</w:t>
      </w:r>
    </w:p>
    <w:p w14:paraId="4CBDCB2F" w14:textId="77777777" w:rsidR="00974657" w:rsidRDefault="00974657" w:rsidP="00747F8A">
      <w:pPr>
        <w:pStyle w:val="MPLParagraphlevel1"/>
      </w:pPr>
      <w:r>
        <w:t xml:space="preserve">This policy is made under the </w:t>
      </w:r>
      <w:hyperlink r:id="rId15" w:history="1">
        <w:r>
          <w:rPr>
            <w:i/>
            <w:iCs/>
            <w:color w:val="0000FF"/>
            <w:u w:val="single"/>
          </w:rPr>
          <w:t>University of Melbourne Act 2009</w:t>
        </w:r>
        <w:r>
          <w:rPr>
            <w:color w:val="0000FF"/>
            <w:u w:val="single"/>
          </w:rPr>
          <w:t xml:space="preserve"> (Vic)</w:t>
        </w:r>
      </w:hyperlink>
      <w:r>
        <w:t xml:space="preserve"> and </w:t>
      </w:r>
      <w:hyperlink r:id="rId16" w:history="1">
        <w:r>
          <w:rPr>
            <w:color w:val="0000FF"/>
            <w:u w:val="single"/>
          </w:rPr>
          <w:t>Council Regulation</w:t>
        </w:r>
      </w:hyperlink>
      <w:r>
        <w:t>, and supports management of risk according to applicable legislative and regulatory standards and codes to which the University is subject. </w:t>
      </w:r>
    </w:p>
    <w:p w14:paraId="28289CA6" w14:textId="77777777" w:rsidR="00974657" w:rsidRDefault="00974657" w:rsidP="00747F8A">
      <w:pPr>
        <w:pStyle w:val="MPLHeading1"/>
      </w:pPr>
      <w:r>
        <w:t>Policy</w:t>
      </w:r>
    </w:p>
    <w:p w14:paraId="390E463A" w14:textId="77777777" w:rsidR="00974657" w:rsidRDefault="00974657" w:rsidP="00747F8A">
      <w:pPr>
        <w:pStyle w:val="MPLParagraphlevel1"/>
      </w:pPr>
      <w:r>
        <w:t>Council, through Council’s Audit and Risk Committee (ARC), is responsible for overseeing and monitoring the assessment and management of risk and compliance.</w:t>
      </w:r>
      <w:r>
        <w:rPr>
          <w:b/>
          <w:bCs/>
        </w:rPr>
        <w:t> </w:t>
      </w:r>
    </w:p>
    <w:p w14:paraId="73A8E234" w14:textId="77777777" w:rsidR="00974657" w:rsidRDefault="00974657" w:rsidP="00747F8A">
      <w:pPr>
        <w:pStyle w:val="MPLParagraphlevel1"/>
      </w:pPr>
      <w:r>
        <w:t xml:space="preserve">Risk is managed in accordance with the University’s </w:t>
      </w:r>
      <w:hyperlink r:id="rId17" w:history="1">
        <w:r w:rsidRPr="00424640">
          <w:rPr>
            <w:rStyle w:val="Hyperlink"/>
          </w:rPr>
          <w:t>Risk Management Framework</w:t>
        </w:r>
      </w:hyperlink>
      <w:r>
        <w:t xml:space="preserve"> developed by Legal and Risk. The Risk Management Framework is </w:t>
      </w:r>
      <w:r w:rsidRPr="00C67476">
        <w:t>approved</w:t>
      </w:r>
      <w:r>
        <w:t xml:space="preserve"> by the ARC on behalf of Council and informed by the advice from the Risk Management </w:t>
      </w:r>
      <w:r w:rsidR="00C67476">
        <w:t>and Compliance Committee</w:t>
      </w:r>
      <w:r w:rsidR="00690E05">
        <w:t xml:space="preserve"> (RMCC)</w:t>
      </w:r>
      <w:r>
        <w:t>.</w:t>
      </w:r>
      <w:r>
        <w:rPr>
          <w:b/>
          <w:bCs/>
        </w:rPr>
        <w:t> </w:t>
      </w:r>
    </w:p>
    <w:p w14:paraId="30FADB81" w14:textId="77777777" w:rsidR="00974657" w:rsidRDefault="00974657" w:rsidP="00747F8A">
      <w:pPr>
        <w:pStyle w:val="MPLParagraphlevel1"/>
      </w:pPr>
      <w:r>
        <w:t xml:space="preserve">The management of risk aligns with the University’s risk appetite, as approved by Council. </w:t>
      </w:r>
    </w:p>
    <w:p w14:paraId="22C3AC05" w14:textId="4BF4775A" w:rsidR="00974657" w:rsidRDefault="00974657" w:rsidP="00747F8A">
      <w:pPr>
        <w:pStyle w:val="MPLParagraphlevel1"/>
      </w:pPr>
      <w:r>
        <w:t>The Vice-President (</w:t>
      </w:r>
      <w:r w:rsidR="003802F7">
        <w:t>Administration &amp; Finance) and Chief Operating Officer</w:t>
      </w:r>
      <w:r>
        <w:t xml:space="preserve"> oversees the development of the risk appetite statement and advises the University Executive Committee on risk as it relates to strategy and objective setting.</w:t>
      </w:r>
    </w:p>
    <w:p w14:paraId="47AB1295" w14:textId="3D8DB8B1" w:rsidR="00974657" w:rsidRDefault="00974657" w:rsidP="00747F8A">
      <w:pPr>
        <w:pStyle w:val="MPLParagraphlevel1"/>
      </w:pPr>
      <w:r>
        <w:t xml:space="preserve">The Vice-President (Administration &amp; Finance) and Chief Operating Officer </w:t>
      </w:r>
      <w:r w:rsidR="003802F7">
        <w:t xml:space="preserve">also </w:t>
      </w:r>
      <w:r w:rsidR="009A6851">
        <w:t xml:space="preserve">advises on and </w:t>
      </w:r>
      <w:r>
        <w:t>oversees University wide</w:t>
      </w:r>
      <w:r w:rsidR="009A6851">
        <w:t xml:space="preserve"> </w:t>
      </w:r>
      <w:r>
        <w:t>implementation of the:</w:t>
      </w:r>
    </w:p>
    <w:p w14:paraId="08F4C502" w14:textId="77777777" w:rsidR="00974657" w:rsidRDefault="00974657" w:rsidP="00747F8A">
      <w:pPr>
        <w:pStyle w:val="MPLParagraphlevel2"/>
      </w:pPr>
      <w:r>
        <w:t xml:space="preserve">Risk Management Framework that is consistent with </w:t>
      </w:r>
      <w:r w:rsidRPr="00012089">
        <w:t xml:space="preserve">AS/NZS ISO 31000:2018 Risk management – </w:t>
      </w:r>
      <w:proofErr w:type="gramStart"/>
      <w:r w:rsidR="00063FFA" w:rsidRPr="00012089">
        <w:t>G</w:t>
      </w:r>
      <w:r w:rsidRPr="00012089">
        <w:t>uidelines</w:t>
      </w:r>
      <w:r>
        <w:t>;</w:t>
      </w:r>
      <w:proofErr w:type="gramEnd"/>
    </w:p>
    <w:p w14:paraId="3136A044" w14:textId="41A62395" w:rsidR="00C67476" w:rsidRDefault="00974657" w:rsidP="00747F8A">
      <w:pPr>
        <w:pStyle w:val="MPLParagraphlevel2"/>
      </w:pPr>
      <w:r>
        <w:lastRenderedPageBreak/>
        <w:t xml:space="preserve">Compliance Management Framework that is consistent with </w:t>
      </w:r>
      <w:r w:rsidRPr="006C74D9">
        <w:t>AS ISO</w:t>
      </w:r>
      <w:r w:rsidR="001F4EE7">
        <w:t xml:space="preserve"> 37301:2023 </w:t>
      </w:r>
      <w:r w:rsidR="001F4EE7" w:rsidRPr="00C654E6">
        <w:rPr>
          <w:lang w:val="en-AU"/>
        </w:rPr>
        <w:t>Compliance management systems - Requirements with guidance for use</w:t>
      </w:r>
      <w:r>
        <w:t xml:space="preserve">and supports the University’s Regulatory </w:t>
      </w:r>
      <w:proofErr w:type="gramStart"/>
      <w:r>
        <w:t>Framework;</w:t>
      </w:r>
      <w:proofErr w:type="gramEnd"/>
    </w:p>
    <w:p w14:paraId="17AF0F92" w14:textId="77777777" w:rsidR="00974657" w:rsidRDefault="00974657" w:rsidP="00747F8A">
      <w:pPr>
        <w:pStyle w:val="MPLParagraphlevel2"/>
      </w:pPr>
      <w:r>
        <w:t xml:space="preserve">Critical Incident Management that is consistent with </w:t>
      </w:r>
      <w:r w:rsidR="00BC1781">
        <w:t xml:space="preserve">Australasian Inter-Service Incident Management </w:t>
      </w:r>
      <w:proofErr w:type="gramStart"/>
      <w:r w:rsidR="00BC1781">
        <w:t>System</w:t>
      </w:r>
      <w:r>
        <w:t>;</w:t>
      </w:r>
      <w:proofErr w:type="gramEnd"/>
    </w:p>
    <w:p w14:paraId="31F516BA" w14:textId="77777777" w:rsidR="005402F3" w:rsidRDefault="00974657" w:rsidP="00747F8A">
      <w:pPr>
        <w:pStyle w:val="MPLParagraphlevel2"/>
      </w:pPr>
      <w:r w:rsidRPr="003659D2">
        <w:t>Business Continuity Program</w:t>
      </w:r>
      <w:r w:rsidR="005402F3" w:rsidRPr="003659D2">
        <w:t xml:space="preserve">. Business Continuity is managed in accordance with the standards set out in </w:t>
      </w:r>
      <w:r w:rsidR="00F67677" w:rsidRPr="006C74D9">
        <w:t>ISO 22301:2019 Security And Resilience - Business Continuity Management Systems - Requirements</w:t>
      </w:r>
      <w:r w:rsidR="00F67677" w:rsidRPr="003659D2" w:rsidDel="00F67677">
        <w:t xml:space="preserve"> </w:t>
      </w:r>
      <w:r w:rsidR="005402F3" w:rsidRPr="003659D2">
        <w:t>and is overseen by the Resources and Operations Sub-Committee (ROS</w:t>
      </w:r>
      <w:proofErr w:type="gramStart"/>
      <w:r w:rsidR="005402F3" w:rsidRPr="003659D2">
        <w:t xml:space="preserve">) </w:t>
      </w:r>
      <w:r w:rsidR="00C152B2">
        <w:t>.</w:t>
      </w:r>
      <w:proofErr w:type="gramEnd"/>
    </w:p>
    <w:p w14:paraId="2275AA60" w14:textId="77777777" w:rsidR="00974657" w:rsidRDefault="00974657" w:rsidP="00747F8A">
      <w:pPr>
        <w:pStyle w:val="MPLParagraphlevel1"/>
      </w:pPr>
      <w:r>
        <w:t xml:space="preserve">Risk management and compliance obligations are formally integrated into planning processes and management </w:t>
      </w:r>
      <w:r w:rsidR="00436461">
        <w:t>activities and</w:t>
      </w:r>
      <w:r>
        <w:t xml:space="preserve"> incorporated into ongoing ‘business as usual’ practices by those with management responsibilities.</w:t>
      </w:r>
    </w:p>
    <w:p w14:paraId="1715DF52" w14:textId="47A22410" w:rsidR="00974657" w:rsidRDefault="002B4AD8" w:rsidP="00747F8A">
      <w:pPr>
        <w:pStyle w:val="MPLParagraphlevel1"/>
      </w:pPr>
      <w:r>
        <w:t>T</w:t>
      </w:r>
      <w:r w:rsidR="00974657">
        <w:t xml:space="preserve">he head of </w:t>
      </w:r>
      <w:r w:rsidR="003802F7">
        <w:t xml:space="preserve">portfolio </w:t>
      </w:r>
      <w:r w:rsidR="00974657">
        <w:t xml:space="preserve">is responsible for </w:t>
      </w:r>
      <w:r w:rsidR="00B14EF0">
        <w:t xml:space="preserve">the monitoring and reporting of </w:t>
      </w:r>
      <w:r w:rsidR="00974657">
        <w:t>compliance breaches. </w:t>
      </w:r>
    </w:p>
    <w:p w14:paraId="3D251A57" w14:textId="77777777" w:rsidR="00974657" w:rsidRDefault="00974657" w:rsidP="00747F8A">
      <w:pPr>
        <w:pStyle w:val="MPLParagraphlevel1"/>
      </w:pPr>
      <w:r>
        <w:t xml:space="preserve">In the event of a critical incident, the University's response will </w:t>
      </w:r>
      <w:proofErr w:type="spellStart"/>
      <w:r>
        <w:t>prioritise</w:t>
      </w:r>
      <w:proofErr w:type="spellEnd"/>
      <w:r>
        <w:t>:</w:t>
      </w:r>
    </w:p>
    <w:p w14:paraId="5370555E" w14:textId="77777777" w:rsidR="00974657" w:rsidRDefault="00974657" w:rsidP="00D11A39">
      <w:pPr>
        <w:pStyle w:val="MPLParagraphlevel2"/>
      </w:pPr>
      <w:r>
        <w:t xml:space="preserve">human life, safety and </w:t>
      </w:r>
      <w:proofErr w:type="gramStart"/>
      <w:r>
        <w:t>wellbeing;</w:t>
      </w:r>
      <w:proofErr w:type="gramEnd"/>
      <w:r>
        <w:t> </w:t>
      </w:r>
    </w:p>
    <w:p w14:paraId="1787E838" w14:textId="77777777" w:rsidR="00974657" w:rsidRDefault="00974657" w:rsidP="00D11A39">
      <w:pPr>
        <w:pStyle w:val="MPLParagraphlevel2"/>
      </w:pPr>
      <w:r>
        <w:t xml:space="preserve">animal life, safety and </w:t>
      </w:r>
      <w:proofErr w:type="gramStart"/>
      <w:r>
        <w:t>wellbeing;</w:t>
      </w:r>
      <w:proofErr w:type="gramEnd"/>
      <w:r>
        <w:t> </w:t>
      </w:r>
    </w:p>
    <w:p w14:paraId="53E4637D" w14:textId="77777777" w:rsidR="004F5300" w:rsidRDefault="00974657" w:rsidP="00D11A39">
      <w:pPr>
        <w:pStyle w:val="MPLParagraphlevel2"/>
      </w:pPr>
      <w:r>
        <w:t xml:space="preserve">environmental </w:t>
      </w:r>
      <w:proofErr w:type="gramStart"/>
      <w:r>
        <w:t>protection;</w:t>
      </w:r>
      <w:proofErr w:type="gramEnd"/>
      <w:r>
        <w:t xml:space="preserve"> </w:t>
      </w:r>
    </w:p>
    <w:p w14:paraId="7BC9A69F" w14:textId="77777777" w:rsidR="00974657" w:rsidRDefault="004F5300" w:rsidP="00D11A39">
      <w:pPr>
        <w:pStyle w:val="MPLParagraphlevel2"/>
      </w:pPr>
      <w:r>
        <w:t xml:space="preserve">maintenance of core operations; </w:t>
      </w:r>
      <w:r w:rsidR="00974657">
        <w:t>and</w:t>
      </w:r>
    </w:p>
    <w:p w14:paraId="020A1767" w14:textId="77777777" w:rsidR="00974657" w:rsidRDefault="00974657" w:rsidP="00D11A39">
      <w:pPr>
        <w:pStyle w:val="MPLParagraphlevel2"/>
      </w:pPr>
      <w:r>
        <w:t>the protection of property interests,</w:t>
      </w:r>
    </w:p>
    <w:p w14:paraId="583084C9" w14:textId="77777777" w:rsidR="00974657" w:rsidRDefault="00974657" w:rsidP="00D11A39">
      <w:pPr>
        <w:pStyle w:val="MPLParagraphlevel2"/>
        <w:numPr>
          <w:ilvl w:val="0"/>
          <w:numId w:val="0"/>
        </w:numPr>
        <w:ind w:left="720"/>
      </w:pPr>
      <w:proofErr w:type="gramStart"/>
      <w:r>
        <w:t>taking into account</w:t>
      </w:r>
      <w:proofErr w:type="gramEnd"/>
      <w:r>
        <w:t xml:space="preserve"> the nature of the incident and relevant circumstances. </w:t>
      </w:r>
    </w:p>
    <w:p w14:paraId="5862FFF7" w14:textId="77777777" w:rsidR="00974657" w:rsidRDefault="00974657" w:rsidP="00134D1B">
      <w:pPr>
        <w:pStyle w:val="MPLHeading1"/>
      </w:pPr>
      <w:r>
        <w:t>Procedural principles</w:t>
      </w:r>
    </w:p>
    <w:p w14:paraId="69029B9E" w14:textId="77777777" w:rsidR="00974657" w:rsidRDefault="00974657" w:rsidP="00DC2C08">
      <w:pPr>
        <w:pStyle w:val="MPLParagraphlevel1"/>
      </w:pPr>
      <w:r>
        <w:t>Legal and Risk maintains the:</w:t>
      </w:r>
    </w:p>
    <w:p w14:paraId="2418E407" w14:textId="77777777" w:rsidR="00974657" w:rsidRDefault="00974657" w:rsidP="00DC2C08">
      <w:pPr>
        <w:pStyle w:val="MPLParagraphlevel2"/>
      </w:pPr>
      <w:r>
        <w:t>University Risk Register; and</w:t>
      </w:r>
    </w:p>
    <w:p w14:paraId="69F09C09" w14:textId="77777777" w:rsidR="00974657" w:rsidRDefault="00974657" w:rsidP="00DC2C08">
      <w:pPr>
        <w:pStyle w:val="MPLParagraphlevel2"/>
      </w:pPr>
      <w:r>
        <w:t>University Compliance Obligations Register.</w:t>
      </w:r>
    </w:p>
    <w:p w14:paraId="4E9EE7A6" w14:textId="77777777" w:rsidR="00974657" w:rsidRDefault="00974657" w:rsidP="00DC2C08">
      <w:pPr>
        <w:pStyle w:val="MPLParagraphlevel1"/>
      </w:pPr>
      <w:r>
        <w:t>Legal and Risk:</w:t>
      </w:r>
      <w:r>
        <w:rPr>
          <w:b/>
          <w:bCs/>
        </w:rPr>
        <w:t> </w:t>
      </w:r>
    </w:p>
    <w:p w14:paraId="4129B81A" w14:textId="77777777" w:rsidR="00974657" w:rsidRDefault="00974657" w:rsidP="00DC2C08">
      <w:pPr>
        <w:pStyle w:val="MPLParagraphlevel2"/>
      </w:pPr>
      <w:r>
        <w:t xml:space="preserve">provides risk management advice and </w:t>
      </w:r>
      <w:proofErr w:type="gramStart"/>
      <w:r>
        <w:t>training;</w:t>
      </w:r>
      <w:proofErr w:type="gramEnd"/>
    </w:p>
    <w:p w14:paraId="78888D64" w14:textId="77777777" w:rsidR="00974657" w:rsidRDefault="00974657" w:rsidP="00DC2C08">
      <w:pPr>
        <w:pStyle w:val="MPLParagraphlevel2"/>
      </w:pPr>
      <w:r>
        <w:t>provides compliance training; and</w:t>
      </w:r>
    </w:p>
    <w:p w14:paraId="29A52E44" w14:textId="77777777" w:rsidR="00974657" w:rsidRDefault="00974657" w:rsidP="00DC2C08">
      <w:pPr>
        <w:pStyle w:val="MPLParagraphlevel2"/>
      </w:pPr>
      <w:r>
        <w:t>documents process in support of risk management.</w:t>
      </w:r>
    </w:p>
    <w:p w14:paraId="40ECA0C6" w14:textId="7B7CBCDB" w:rsidR="00974657" w:rsidRDefault="00974657" w:rsidP="00DC2C08">
      <w:pPr>
        <w:pStyle w:val="MPLParagraphlevel1"/>
      </w:pPr>
      <w:r>
        <w:t xml:space="preserve">Legal and Risk is responsible for internal audits, </w:t>
      </w:r>
      <w:proofErr w:type="gramStart"/>
      <w:r>
        <w:t>taking into account</w:t>
      </w:r>
      <w:proofErr w:type="gramEnd"/>
      <w:r>
        <w:t xml:space="preserve"> any recommendations made by R</w:t>
      </w:r>
      <w:r w:rsidR="00063FFA">
        <w:t xml:space="preserve">isk Management and </w:t>
      </w:r>
      <w:r w:rsidR="003802F7">
        <w:t>Sub-</w:t>
      </w:r>
      <w:r w:rsidR="00063FFA">
        <w:t>Compliance Committee</w:t>
      </w:r>
      <w:r>
        <w:t xml:space="preserve"> in relation to the conduct of risk-related audits. </w:t>
      </w:r>
    </w:p>
    <w:p w14:paraId="50E09D00" w14:textId="77777777" w:rsidR="00974657" w:rsidRDefault="00974657" w:rsidP="00DC2C08">
      <w:pPr>
        <w:pStyle w:val="MPLParagraphlevel1"/>
      </w:pPr>
      <w:r>
        <w:t>The Vice-President (Administration &amp; Finance) and Chief Operating Officer is responsible for:</w:t>
      </w:r>
    </w:p>
    <w:p w14:paraId="53F3F75E" w14:textId="77777777" w:rsidR="009939A1" w:rsidRDefault="00974657" w:rsidP="00193EBE">
      <w:pPr>
        <w:pStyle w:val="MPLParagraphlevel2"/>
      </w:pPr>
      <w:r>
        <w:t xml:space="preserve">developing and implementing a </w:t>
      </w:r>
      <w:proofErr w:type="gramStart"/>
      <w:r>
        <w:t>University</w:t>
      </w:r>
      <w:proofErr w:type="gramEnd"/>
      <w:r>
        <w:t xml:space="preserve">-wide </w:t>
      </w:r>
      <w:r w:rsidR="009939A1">
        <w:t>business continuity planning and management program</w:t>
      </w:r>
      <w:r w:rsidR="00B14EF0">
        <w:t>;</w:t>
      </w:r>
      <w:r w:rsidR="009939A1">
        <w:t xml:space="preserve"> </w:t>
      </w:r>
    </w:p>
    <w:p w14:paraId="5165C057" w14:textId="77777777" w:rsidR="00974657" w:rsidRDefault="009939A1" w:rsidP="00193EBE">
      <w:pPr>
        <w:pStyle w:val="MPLParagraphlevel2"/>
      </w:pPr>
      <w:r>
        <w:t xml:space="preserve">developing and implementing a </w:t>
      </w:r>
      <w:proofErr w:type="gramStart"/>
      <w:r>
        <w:t>University</w:t>
      </w:r>
      <w:proofErr w:type="gramEnd"/>
      <w:r>
        <w:t xml:space="preserve">-wide </w:t>
      </w:r>
      <w:r w:rsidR="00974657">
        <w:t>critical incident management program;</w:t>
      </w:r>
    </w:p>
    <w:p w14:paraId="4790B8B9" w14:textId="77777777" w:rsidR="00974657" w:rsidRDefault="00974657" w:rsidP="00193EBE">
      <w:pPr>
        <w:pStyle w:val="MPLParagraphlevel2"/>
      </w:pPr>
      <w:r>
        <w:t>developing processes to align with the Australian Inter-service Incident Management System; and</w:t>
      </w:r>
    </w:p>
    <w:p w14:paraId="160B795C" w14:textId="77777777" w:rsidR="00974657" w:rsidRDefault="00974657" w:rsidP="00193EBE">
      <w:pPr>
        <w:pStyle w:val="MPLParagraphlevel2"/>
      </w:pPr>
      <w:r>
        <w:lastRenderedPageBreak/>
        <w:t xml:space="preserve">coordinating the University's response to any critical incident </w:t>
      </w:r>
      <w:r w:rsidR="009939A1">
        <w:t xml:space="preserve">or major business disruption </w:t>
      </w:r>
      <w:r>
        <w:t xml:space="preserve">that may occur, in accordance with the critical incident management </w:t>
      </w:r>
      <w:r w:rsidR="009939A1">
        <w:t xml:space="preserve">and business continuity </w:t>
      </w:r>
      <w:r>
        <w:t>program described in section 5.4(a</w:t>
      </w:r>
      <w:r w:rsidR="009939A1">
        <w:t xml:space="preserve"> and b</w:t>
      </w:r>
      <w:r>
        <w:t xml:space="preserve">) and </w:t>
      </w:r>
      <w:r w:rsidR="003E2333">
        <w:t xml:space="preserve">the </w:t>
      </w:r>
      <w:r>
        <w:t>relevant University policies and processes. </w:t>
      </w:r>
    </w:p>
    <w:p w14:paraId="513B8454" w14:textId="77777777" w:rsidR="00974657" w:rsidRDefault="00974657" w:rsidP="00200DCC">
      <w:pPr>
        <w:pStyle w:val="MPLParagraphlevel1"/>
      </w:pPr>
      <w:r>
        <w:t xml:space="preserve">Risks are identified and managed </w:t>
      </w:r>
      <w:r w:rsidR="003E2333">
        <w:t xml:space="preserve">so </w:t>
      </w:r>
      <w:r>
        <w:t>that:</w:t>
      </w:r>
    </w:p>
    <w:p w14:paraId="73507669" w14:textId="77777777" w:rsidR="00974657" w:rsidRDefault="00974657" w:rsidP="00F15A74">
      <w:pPr>
        <w:pStyle w:val="MPLParagraphlevel2"/>
      </w:pPr>
      <w:r>
        <w:t>activities on behalf of the University are performed in an informed manner; and</w:t>
      </w:r>
    </w:p>
    <w:p w14:paraId="70DB898F" w14:textId="77777777" w:rsidR="00974657" w:rsidRDefault="00974657" w:rsidP="00F15A74">
      <w:pPr>
        <w:pStyle w:val="MPLParagraphlevel2"/>
      </w:pPr>
      <w:r>
        <w:t xml:space="preserve">areas of risk or potential risk undertaken in day-to-day activities are the responsibility of staff, including persons </w:t>
      </w:r>
      <w:proofErr w:type="spellStart"/>
      <w:r>
        <w:t>authorised</w:t>
      </w:r>
      <w:proofErr w:type="spellEnd"/>
      <w:r>
        <w:t xml:space="preserve"> to undertake University business and/or activities (</w:t>
      </w:r>
      <w:proofErr w:type="spellStart"/>
      <w:r>
        <w:t>eg</w:t>
      </w:r>
      <w:proofErr w:type="spellEnd"/>
      <w:r>
        <w:t xml:space="preserve"> service providers and contractors).</w:t>
      </w:r>
    </w:p>
    <w:p w14:paraId="3139370D" w14:textId="77777777" w:rsidR="00974657" w:rsidRDefault="00B14EF0" w:rsidP="00F15A74">
      <w:pPr>
        <w:pStyle w:val="MPLParagraphlevel1"/>
      </w:pPr>
      <w:r>
        <w:t>S</w:t>
      </w:r>
      <w:r w:rsidR="00974657">
        <w:t xml:space="preserve">taff, including people </w:t>
      </w:r>
      <w:proofErr w:type="spellStart"/>
      <w:r w:rsidR="00974657">
        <w:t>authorised</w:t>
      </w:r>
      <w:proofErr w:type="spellEnd"/>
      <w:r w:rsidR="00974657">
        <w:t xml:space="preserve"> to undertake University business and/or activities (</w:t>
      </w:r>
      <w:proofErr w:type="spellStart"/>
      <w:r w:rsidR="00974657">
        <w:t>eg</w:t>
      </w:r>
      <w:proofErr w:type="spellEnd"/>
      <w:r w:rsidR="00974657">
        <w:t xml:space="preserve"> service providers and contractors) have a responsibility to comply with legislative and regulatory compliance obligations</w:t>
      </w:r>
      <w:r w:rsidR="003E2333">
        <w:t xml:space="preserve"> so</w:t>
      </w:r>
      <w:r w:rsidR="00974657">
        <w:t xml:space="preserve"> that:</w:t>
      </w:r>
    </w:p>
    <w:p w14:paraId="7B01AA30" w14:textId="77777777" w:rsidR="00974657" w:rsidRDefault="00974657" w:rsidP="00F15A74">
      <w:pPr>
        <w:pStyle w:val="MPLParagraphlevel2"/>
      </w:pPr>
      <w:r>
        <w:t>activities on behalf of the University comply with applicable laws and related University policies, and are performed in an ethical, lawful and safe manner; and</w:t>
      </w:r>
    </w:p>
    <w:p w14:paraId="09EAE3AF" w14:textId="77777777" w:rsidR="00974657" w:rsidRDefault="00974657" w:rsidP="00F15A74">
      <w:pPr>
        <w:pStyle w:val="MPLParagraphlevel2"/>
      </w:pPr>
      <w:r>
        <w:t>they are aware of areas of legislation/regulation that affect their day-to-day work.</w:t>
      </w:r>
    </w:p>
    <w:p w14:paraId="132D67F3" w14:textId="77777777" w:rsidR="00974657" w:rsidRDefault="00974657" w:rsidP="00BD068A">
      <w:pPr>
        <w:pStyle w:val="MPLParagraphlevel1"/>
      </w:pPr>
      <w:r>
        <w:t>A breach of the University’s compliance obligations may result in disciplinary and/or legal action.</w:t>
      </w:r>
    </w:p>
    <w:p w14:paraId="4FF991AB" w14:textId="77777777" w:rsidR="00974657" w:rsidRDefault="00974657" w:rsidP="00AA4CA4">
      <w:pPr>
        <w:pStyle w:val="MPLHeading1"/>
      </w:pPr>
      <w:r>
        <w:t>Roles and responsibilities</w:t>
      </w:r>
    </w:p>
    <w:tbl>
      <w:tblPr>
        <w:tblW w:w="9699" w:type="dxa"/>
        <w:tblBorders>
          <w:top w:val="outset" w:sz="6" w:space="0" w:color="auto"/>
          <w:left w:val="outset" w:sz="6" w:space="0" w:color="auto"/>
          <w:bottom w:val="outset" w:sz="6" w:space="0" w:color="auto"/>
          <w:right w:val="outset" w:sz="6" w:space="0" w:color="auto"/>
          <w:insideH w:val="nil"/>
          <w:insideV w:val="nil"/>
        </w:tblBorders>
        <w:tblCellMar>
          <w:top w:w="60" w:type="dxa"/>
          <w:left w:w="60" w:type="dxa"/>
          <w:bottom w:w="60" w:type="dxa"/>
          <w:right w:w="60" w:type="dxa"/>
        </w:tblCellMar>
        <w:tblLook w:val="04A0" w:firstRow="1" w:lastRow="0" w:firstColumn="1" w:lastColumn="0" w:noHBand="0" w:noVBand="1"/>
      </w:tblPr>
      <w:tblGrid>
        <w:gridCol w:w="4596"/>
        <w:gridCol w:w="2927"/>
        <w:gridCol w:w="2176"/>
      </w:tblGrid>
      <w:tr w:rsidR="00974657" w14:paraId="7676B82C" w14:textId="77777777" w:rsidTr="00E1486E">
        <w:tc>
          <w:tcPr>
            <w:tcW w:w="4596" w:type="dxa"/>
            <w:tcBorders>
              <w:top w:val="outset" w:sz="6" w:space="0" w:color="auto"/>
              <w:left w:val="outset" w:sz="6" w:space="0" w:color="auto"/>
              <w:bottom w:val="outset" w:sz="6" w:space="0" w:color="auto"/>
              <w:right w:val="outset" w:sz="6" w:space="0" w:color="auto"/>
            </w:tcBorders>
          </w:tcPr>
          <w:p w14:paraId="34563665" w14:textId="77777777" w:rsidR="00974657" w:rsidRDefault="00974657" w:rsidP="00AA4CA4">
            <w:pPr>
              <w:pStyle w:val="MPLParapgrah"/>
            </w:pPr>
            <w:r>
              <w:t>Role/Decision/Action</w:t>
            </w:r>
          </w:p>
        </w:tc>
        <w:tc>
          <w:tcPr>
            <w:tcW w:w="2927" w:type="dxa"/>
            <w:tcBorders>
              <w:top w:val="outset" w:sz="6" w:space="0" w:color="auto"/>
              <w:left w:val="outset" w:sz="6" w:space="0" w:color="auto"/>
              <w:bottom w:val="outset" w:sz="6" w:space="0" w:color="auto"/>
              <w:right w:val="outset" w:sz="6" w:space="0" w:color="auto"/>
            </w:tcBorders>
          </w:tcPr>
          <w:p w14:paraId="6A71A265" w14:textId="77777777" w:rsidR="00974657" w:rsidRDefault="00974657" w:rsidP="00AA4CA4">
            <w:pPr>
              <w:pStyle w:val="MPLParapgrah"/>
            </w:pPr>
            <w:r>
              <w:t>Responsibility</w:t>
            </w:r>
          </w:p>
        </w:tc>
        <w:tc>
          <w:tcPr>
            <w:tcW w:w="2176" w:type="dxa"/>
            <w:tcBorders>
              <w:top w:val="outset" w:sz="6" w:space="0" w:color="auto"/>
              <w:left w:val="outset" w:sz="6" w:space="0" w:color="auto"/>
              <w:bottom w:val="outset" w:sz="6" w:space="0" w:color="auto"/>
              <w:right w:val="outset" w:sz="6" w:space="0" w:color="auto"/>
            </w:tcBorders>
          </w:tcPr>
          <w:p w14:paraId="246FF780" w14:textId="77777777" w:rsidR="00974657" w:rsidRDefault="00974657" w:rsidP="00AA4CA4">
            <w:pPr>
              <w:pStyle w:val="MPLParapgrah"/>
            </w:pPr>
            <w:r>
              <w:t>Conditions and limitations</w:t>
            </w:r>
          </w:p>
        </w:tc>
      </w:tr>
      <w:tr w:rsidR="00974657" w14:paraId="70EAD9A2" w14:textId="77777777" w:rsidTr="00E1486E">
        <w:tc>
          <w:tcPr>
            <w:tcW w:w="4596" w:type="dxa"/>
            <w:tcBorders>
              <w:top w:val="outset" w:sz="6" w:space="0" w:color="auto"/>
              <w:left w:val="outset" w:sz="6" w:space="0" w:color="auto"/>
              <w:bottom w:val="outset" w:sz="6" w:space="0" w:color="auto"/>
              <w:right w:val="outset" w:sz="6" w:space="0" w:color="auto"/>
            </w:tcBorders>
          </w:tcPr>
          <w:p w14:paraId="4384658C" w14:textId="77777777" w:rsidR="00974657" w:rsidRDefault="00974657" w:rsidP="00AA4CA4">
            <w:pPr>
              <w:pStyle w:val="MPLParapgrah"/>
            </w:pPr>
            <w:r>
              <w:t>Oversee and monitor the assessment and management of risk and compliance</w:t>
            </w:r>
          </w:p>
        </w:tc>
        <w:tc>
          <w:tcPr>
            <w:tcW w:w="2927" w:type="dxa"/>
            <w:tcBorders>
              <w:top w:val="outset" w:sz="6" w:space="0" w:color="auto"/>
              <w:left w:val="outset" w:sz="6" w:space="0" w:color="auto"/>
              <w:bottom w:val="outset" w:sz="6" w:space="0" w:color="auto"/>
              <w:right w:val="outset" w:sz="6" w:space="0" w:color="auto"/>
            </w:tcBorders>
          </w:tcPr>
          <w:p w14:paraId="4938858C" w14:textId="77777777" w:rsidR="00974657" w:rsidRDefault="00974657" w:rsidP="00AA4CA4">
            <w:pPr>
              <w:pStyle w:val="MPLParapgrah"/>
            </w:pPr>
            <w:r>
              <w:t>Council</w:t>
            </w:r>
          </w:p>
        </w:tc>
        <w:tc>
          <w:tcPr>
            <w:tcW w:w="2176" w:type="dxa"/>
            <w:tcBorders>
              <w:top w:val="outset" w:sz="6" w:space="0" w:color="auto"/>
              <w:left w:val="outset" w:sz="6" w:space="0" w:color="auto"/>
              <w:bottom w:val="outset" w:sz="6" w:space="0" w:color="auto"/>
              <w:right w:val="outset" w:sz="6" w:space="0" w:color="auto"/>
            </w:tcBorders>
          </w:tcPr>
          <w:p w14:paraId="186835F6" w14:textId="6A122354" w:rsidR="00974657" w:rsidRDefault="00974657" w:rsidP="00AA4CA4">
            <w:pPr>
              <w:pStyle w:val="MPLParapgrah"/>
            </w:pPr>
            <w:r>
              <w:t>Through Council’s Audit and Risk Committee</w:t>
            </w:r>
            <w:r w:rsidR="00DB4DD2">
              <w:t xml:space="preserve"> (ARC)</w:t>
            </w:r>
            <w:r w:rsidR="007913FA">
              <w:t>.</w:t>
            </w:r>
          </w:p>
        </w:tc>
      </w:tr>
      <w:tr w:rsidR="00974657" w14:paraId="21BB7F3D" w14:textId="77777777" w:rsidTr="00E1486E">
        <w:tc>
          <w:tcPr>
            <w:tcW w:w="4596" w:type="dxa"/>
            <w:tcBorders>
              <w:top w:val="outset" w:sz="6" w:space="0" w:color="auto"/>
              <w:left w:val="outset" w:sz="6" w:space="0" w:color="auto"/>
              <w:bottom w:val="outset" w:sz="6" w:space="0" w:color="auto"/>
              <w:right w:val="outset" w:sz="6" w:space="0" w:color="auto"/>
            </w:tcBorders>
          </w:tcPr>
          <w:p w14:paraId="7CAC0FB0" w14:textId="77777777" w:rsidR="00E1486E" w:rsidRDefault="00974657" w:rsidP="00AA4CA4">
            <w:pPr>
              <w:pStyle w:val="MPLParapgrah"/>
            </w:pPr>
            <w:r>
              <w:t>Oversee development of the University’s Risk Register</w:t>
            </w:r>
          </w:p>
        </w:tc>
        <w:tc>
          <w:tcPr>
            <w:tcW w:w="2927" w:type="dxa"/>
            <w:tcBorders>
              <w:top w:val="outset" w:sz="6" w:space="0" w:color="auto"/>
              <w:left w:val="outset" w:sz="6" w:space="0" w:color="auto"/>
              <w:bottom w:val="outset" w:sz="6" w:space="0" w:color="auto"/>
              <w:right w:val="outset" w:sz="6" w:space="0" w:color="auto"/>
            </w:tcBorders>
          </w:tcPr>
          <w:p w14:paraId="6FE2CC3E" w14:textId="77777777" w:rsidR="00974657" w:rsidRDefault="00974657" w:rsidP="00AA4CA4">
            <w:pPr>
              <w:pStyle w:val="MPLParapgrah"/>
            </w:pPr>
            <w:r>
              <w:t>Vice-President (Administration &amp; Finance) and Chief Operating Officer</w:t>
            </w:r>
          </w:p>
        </w:tc>
        <w:tc>
          <w:tcPr>
            <w:tcW w:w="2176" w:type="dxa"/>
            <w:tcBorders>
              <w:top w:val="outset" w:sz="6" w:space="0" w:color="auto"/>
              <w:left w:val="outset" w:sz="6" w:space="0" w:color="auto"/>
              <w:bottom w:val="outset" w:sz="6" w:space="0" w:color="auto"/>
              <w:right w:val="outset" w:sz="6" w:space="0" w:color="auto"/>
            </w:tcBorders>
          </w:tcPr>
          <w:p w14:paraId="6AC269B8" w14:textId="1B00184C" w:rsidR="00974657" w:rsidRDefault="007913FA" w:rsidP="00AA4CA4">
            <w:pPr>
              <w:pStyle w:val="MPLParapgrah"/>
            </w:pPr>
            <w:r>
              <w:t>Led by Legal &amp; Risk, in consultation with</w:t>
            </w:r>
            <w:r w:rsidR="00974657">
              <w:t xml:space="preserve"> Strategy, Planning and Performance.</w:t>
            </w:r>
          </w:p>
          <w:p w14:paraId="3F5EBA25" w14:textId="77777777" w:rsidR="00974657" w:rsidRDefault="00974657" w:rsidP="00AA4CA4">
            <w:pPr>
              <w:pStyle w:val="MPLParapgrah"/>
            </w:pPr>
            <w:proofErr w:type="gramStart"/>
            <w:r>
              <w:t>Taking into account</w:t>
            </w:r>
            <w:proofErr w:type="gramEnd"/>
            <w:r>
              <w:t xml:space="preserve"> any recommendations by </w:t>
            </w:r>
            <w:r w:rsidR="00063FFA">
              <w:t>RMCC</w:t>
            </w:r>
            <w:r>
              <w:t>.</w:t>
            </w:r>
          </w:p>
          <w:p w14:paraId="3017F269" w14:textId="77777777" w:rsidR="00974657" w:rsidRDefault="00974657" w:rsidP="00AA4CA4">
            <w:pPr>
              <w:pStyle w:val="MPLParapgrah"/>
            </w:pPr>
            <w:r>
              <w:t>To be approved by Council through the Council’s Audit and Risk Committee.</w:t>
            </w:r>
          </w:p>
        </w:tc>
      </w:tr>
      <w:tr w:rsidR="00974657" w14:paraId="4E3BC64F" w14:textId="77777777" w:rsidTr="00E1486E">
        <w:tc>
          <w:tcPr>
            <w:tcW w:w="4596" w:type="dxa"/>
            <w:tcBorders>
              <w:top w:val="outset" w:sz="6" w:space="0" w:color="auto"/>
              <w:left w:val="outset" w:sz="6" w:space="0" w:color="auto"/>
              <w:bottom w:val="outset" w:sz="6" w:space="0" w:color="auto"/>
              <w:right w:val="outset" w:sz="6" w:space="0" w:color="auto"/>
            </w:tcBorders>
          </w:tcPr>
          <w:p w14:paraId="310CF983" w14:textId="77777777" w:rsidR="00974657" w:rsidRDefault="00974657" w:rsidP="00AA4CA4">
            <w:pPr>
              <w:pStyle w:val="MPLParapgrah"/>
            </w:pPr>
            <w:r>
              <w:t>Oversee development of the risk appetite statement</w:t>
            </w:r>
          </w:p>
        </w:tc>
        <w:tc>
          <w:tcPr>
            <w:tcW w:w="2927" w:type="dxa"/>
            <w:tcBorders>
              <w:top w:val="outset" w:sz="6" w:space="0" w:color="auto"/>
              <w:left w:val="outset" w:sz="6" w:space="0" w:color="auto"/>
              <w:bottom w:val="outset" w:sz="6" w:space="0" w:color="auto"/>
              <w:right w:val="outset" w:sz="6" w:space="0" w:color="auto"/>
            </w:tcBorders>
          </w:tcPr>
          <w:p w14:paraId="59CCF2D3" w14:textId="1E774FFD" w:rsidR="00974657" w:rsidRDefault="00D933BD" w:rsidP="00AA4CA4">
            <w:pPr>
              <w:pStyle w:val="MPLParapgrah"/>
            </w:pPr>
            <w:r>
              <w:t>Vice-President (Administration &amp; Finance) and Chief Operating Officer</w:t>
            </w:r>
          </w:p>
        </w:tc>
        <w:tc>
          <w:tcPr>
            <w:tcW w:w="2176" w:type="dxa"/>
            <w:tcBorders>
              <w:top w:val="outset" w:sz="6" w:space="0" w:color="auto"/>
              <w:left w:val="outset" w:sz="6" w:space="0" w:color="auto"/>
              <w:bottom w:val="outset" w:sz="6" w:space="0" w:color="auto"/>
              <w:right w:val="outset" w:sz="6" w:space="0" w:color="auto"/>
            </w:tcBorders>
          </w:tcPr>
          <w:p w14:paraId="268C797F" w14:textId="230C9670" w:rsidR="00974657" w:rsidRDefault="007913FA" w:rsidP="00AA4CA4">
            <w:pPr>
              <w:pStyle w:val="MPLParapgrah"/>
            </w:pPr>
            <w:r>
              <w:t>Led by Strategy, Planning and Performance, i</w:t>
            </w:r>
            <w:r w:rsidR="00974657">
              <w:t>n co</w:t>
            </w:r>
            <w:r>
              <w:t>nsultation</w:t>
            </w:r>
            <w:r w:rsidR="00974657">
              <w:t xml:space="preserve"> with Legal and Risk</w:t>
            </w:r>
            <w:r w:rsidR="00E462E5">
              <w:t>.</w:t>
            </w:r>
          </w:p>
          <w:p w14:paraId="761DC5BD" w14:textId="5ED446F5" w:rsidR="00974657" w:rsidRDefault="00974657" w:rsidP="00AA4CA4">
            <w:pPr>
              <w:pStyle w:val="MPLParapgrah"/>
            </w:pPr>
            <w:proofErr w:type="gramStart"/>
            <w:r>
              <w:t>Taking into account</w:t>
            </w:r>
            <w:proofErr w:type="gramEnd"/>
            <w:r>
              <w:t xml:space="preserve"> any recommendations by </w:t>
            </w:r>
            <w:r w:rsidR="00063FFA">
              <w:t>RMCC</w:t>
            </w:r>
            <w:r w:rsidR="007913FA">
              <w:t>.</w:t>
            </w:r>
          </w:p>
          <w:p w14:paraId="6F37E43C" w14:textId="1FACC58A" w:rsidR="00974657" w:rsidRDefault="00974657" w:rsidP="00AA4CA4">
            <w:pPr>
              <w:pStyle w:val="MPLParapgrah"/>
            </w:pPr>
            <w:r>
              <w:t>To be approved by Council through the Council’s Audit and Risk Committee</w:t>
            </w:r>
            <w:r w:rsidR="00D933BD">
              <w:t>.</w:t>
            </w:r>
          </w:p>
        </w:tc>
      </w:tr>
      <w:tr w:rsidR="00974657" w14:paraId="4C0BB50E" w14:textId="77777777" w:rsidTr="00E1486E">
        <w:tc>
          <w:tcPr>
            <w:tcW w:w="4596" w:type="dxa"/>
            <w:tcBorders>
              <w:top w:val="outset" w:sz="6" w:space="0" w:color="auto"/>
              <w:left w:val="outset" w:sz="6" w:space="0" w:color="auto"/>
              <w:bottom w:val="outset" w:sz="6" w:space="0" w:color="auto"/>
              <w:right w:val="outset" w:sz="6" w:space="0" w:color="auto"/>
            </w:tcBorders>
          </w:tcPr>
          <w:p w14:paraId="6633AFEB" w14:textId="77777777" w:rsidR="00974657" w:rsidRDefault="00974657" w:rsidP="00AA4CA4">
            <w:pPr>
              <w:pStyle w:val="MPLParapgrah"/>
            </w:pPr>
            <w:r>
              <w:t>Develop the University's Risk Management Framework</w:t>
            </w:r>
          </w:p>
        </w:tc>
        <w:tc>
          <w:tcPr>
            <w:tcW w:w="2927" w:type="dxa"/>
            <w:tcBorders>
              <w:top w:val="outset" w:sz="6" w:space="0" w:color="auto"/>
              <w:left w:val="outset" w:sz="6" w:space="0" w:color="auto"/>
              <w:bottom w:val="outset" w:sz="6" w:space="0" w:color="auto"/>
              <w:right w:val="outset" w:sz="6" w:space="0" w:color="auto"/>
            </w:tcBorders>
          </w:tcPr>
          <w:p w14:paraId="67F0C7CD" w14:textId="77777777" w:rsidR="00974657" w:rsidRDefault="00974657" w:rsidP="00AA4CA4">
            <w:pPr>
              <w:pStyle w:val="MPLParapgrah"/>
            </w:pPr>
            <w:r>
              <w:t>Legal and Risk</w:t>
            </w:r>
          </w:p>
        </w:tc>
        <w:tc>
          <w:tcPr>
            <w:tcW w:w="2176" w:type="dxa"/>
            <w:tcBorders>
              <w:top w:val="outset" w:sz="6" w:space="0" w:color="auto"/>
              <w:left w:val="outset" w:sz="6" w:space="0" w:color="auto"/>
              <w:bottom w:val="outset" w:sz="6" w:space="0" w:color="auto"/>
              <w:right w:val="outset" w:sz="6" w:space="0" w:color="auto"/>
            </w:tcBorders>
          </w:tcPr>
          <w:p w14:paraId="1B2DDFDD" w14:textId="2B42FCC4" w:rsidR="00974657" w:rsidRDefault="00974657" w:rsidP="00AA4CA4">
            <w:pPr>
              <w:pStyle w:val="MPLParapgrah"/>
            </w:pPr>
            <w:r>
              <w:t>In collaboration with Strategy, Planning and Performance</w:t>
            </w:r>
            <w:r w:rsidR="00D933BD">
              <w:t>.</w:t>
            </w:r>
          </w:p>
          <w:p w14:paraId="49F1D356" w14:textId="4DA74B9D" w:rsidR="00974657" w:rsidRDefault="00974657" w:rsidP="00AA4CA4">
            <w:pPr>
              <w:pStyle w:val="MPLParapgrah"/>
            </w:pPr>
            <w:proofErr w:type="gramStart"/>
            <w:r>
              <w:t>Taking into account</w:t>
            </w:r>
            <w:proofErr w:type="gramEnd"/>
            <w:r>
              <w:t xml:space="preserve"> any recommendations by </w:t>
            </w:r>
            <w:r w:rsidR="00063FFA">
              <w:t>RMCC</w:t>
            </w:r>
            <w:r w:rsidR="00D933BD">
              <w:t>.</w:t>
            </w:r>
          </w:p>
          <w:p w14:paraId="5D4570F8" w14:textId="5D44485A" w:rsidR="00974657" w:rsidRDefault="00974657" w:rsidP="00AA4CA4">
            <w:pPr>
              <w:pStyle w:val="MPLParapgrah"/>
            </w:pPr>
            <w:r>
              <w:t>To be approved by Council through the Council’s Audit and Risk Committee</w:t>
            </w:r>
            <w:r w:rsidR="00D933BD">
              <w:t>.</w:t>
            </w:r>
          </w:p>
        </w:tc>
      </w:tr>
      <w:tr w:rsidR="00974657" w14:paraId="2C13FC5B"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782DC78E" w14:textId="77777777" w:rsidR="00974657" w:rsidRDefault="00974657" w:rsidP="00AA4CA4">
            <w:pPr>
              <w:pStyle w:val="MPLParapgrah"/>
            </w:pPr>
            <w:r>
              <w:t>Develop the University's risk management process for assessing, evaluating and treating risk</w:t>
            </w:r>
          </w:p>
        </w:tc>
        <w:tc>
          <w:tcPr>
            <w:tcW w:w="2927" w:type="dxa"/>
            <w:tcBorders>
              <w:top w:val="outset" w:sz="6" w:space="0" w:color="auto"/>
              <w:left w:val="outset" w:sz="6" w:space="0" w:color="auto"/>
              <w:bottom w:val="outset" w:sz="6" w:space="0" w:color="auto"/>
              <w:right w:val="outset" w:sz="6" w:space="0" w:color="auto"/>
            </w:tcBorders>
            <w:vAlign w:val="center"/>
          </w:tcPr>
          <w:p w14:paraId="0F4D7AE4" w14:textId="77777777" w:rsidR="00974657" w:rsidRDefault="00974657" w:rsidP="00AA4CA4">
            <w:pPr>
              <w:pStyle w:val="MPLParapgrah"/>
            </w:pPr>
            <w:r>
              <w:t>Legal and Risk</w:t>
            </w:r>
          </w:p>
        </w:tc>
        <w:tc>
          <w:tcPr>
            <w:tcW w:w="2176" w:type="dxa"/>
            <w:tcBorders>
              <w:top w:val="outset" w:sz="6" w:space="0" w:color="auto"/>
              <w:left w:val="outset" w:sz="6" w:space="0" w:color="auto"/>
              <w:bottom w:val="outset" w:sz="6" w:space="0" w:color="auto"/>
              <w:right w:val="outset" w:sz="6" w:space="0" w:color="auto"/>
            </w:tcBorders>
            <w:vAlign w:val="center"/>
          </w:tcPr>
          <w:p w14:paraId="2A702A50" w14:textId="6FD274C6" w:rsidR="00974657" w:rsidRDefault="00974657" w:rsidP="00AA4CA4">
            <w:pPr>
              <w:pStyle w:val="MPLParapgrah"/>
            </w:pPr>
            <w:r>
              <w:t>To be approved by the Vice-President (Administration &amp; Finance) and Chief Operating Officer</w:t>
            </w:r>
            <w:r w:rsidR="00D933BD">
              <w:t>.</w:t>
            </w:r>
          </w:p>
        </w:tc>
      </w:tr>
      <w:tr w:rsidR="00974657" w14:paraId="0DC10CB4" w14:textId="77777777" w:rsidTr="00E1486E">
        <w:tc>
          <w:tcPr>
            <w:tcW w:w="4596" w:type="dxa"/>
            <w:tcBorders>
              <w:top w:val="outset" w:sz="6" w:space="0" w:color="auto"/>
              <w:left w:val="outset" w:sz="6" w:space="0" w:color="auto"/>
              <w:bottom w:val="outset" w:sz="6" w:space="0" w:color="auto"/>
              <w:right w:val="outset" w:sz="6" w:space="0" w:color="auto"/>
            </w:tcBorders>
          </w:tcPr>
          <w:p w14:paraId="15C4F8DE" w14:textId="77777777" w:rsidR="00974657" w:rsidRDefault="00974657" w:rsidP="00AA4CA4">
            <w:pPr>
              <w:pStyle w:val="MPLParapgrah"/>
            </w:pPr>
            <w:r>
              <w:t>Incorporate risk management, including compliance obligations and business continuity management, into business practices</w:t>
            </w:r>
          </w:p>
        </w:tc>
        <w:tc>
          <w:tcPr>
            <w:tcW w:w="2927" w:type="dxa"/>
            <w:tcBorders>
              <w:top w:val="outset" w:sz="6" w:space="0" w:color="auto"/>
              <w:left w:val="outset" w:sz="6" w:space="0" w:color="auto"/>
              <w:bottom w:val="outset" w:sz="6" w:space="0" w:color="auto"/>
              <w:right w:val="outset" w:sz="6" w:space="0" w:color="auto"/>
            </w:tcBorders>
          </w:tcPr>
          <w:p w14:paraId="408C0CE7" w14:textId="77777777" w:rsidR="00974657" w:rsidRDefault="00974657" w:rsidP="00AA4CA4">
            <w:pPr>
              <w:pStyle w:val="MPLParapgrah"/>
            </w:pPr>
            <w:r>
              <w:t>Management</w:t>
            </w:r>
          </w:p>
        </w:tc>
        <w:tc>
          <w:tcPr>
            <w:tcW w:w="2176" w:type="dxa"/>
            <w:tcBorders>
              <w:top w:val="outset" w:sz="6" w:space="0" w:color="auto"/>
              <w:left w:val="outset" w:sz="6" w:space="0" w:color="auto"/>
              <w:bottom w:val="outset" w:sz="6" w:space="0" w:color="auto"/>
              <w:right w:val="outset" w:sz="6" w:space="0" w:color="auto"/>
            </w:tcBorders>
          </w:tcPr>
          <w:p w14:paraId="57D7D2DB" w14:textId="77777777" w:rsidR="00974657" w:rsidRDefault="00974657" w:rsidP="00AA4CA4">
            <w:pPr>
              <w:pStyle w:val="MPLParapgrah"/>
            </w:pPr>
            <w:r>
              <w:t> </w:t>
            </w:r>
          </w:p>
        </w:tc>
      </w:tr>
      <w:tr w:rsidR="00974657" w14:paraId="72C55456"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42111382" w14:textId="77777777" w:rsidR="00974657" w:rsidRDefault="00974657" w:rsidP="00AA4CA4">
            <w:pPr>
              <w:pStyle w:val="MPLParapgrah"/>
            </w:pPr>
            <w:r>
              <w:t>Provide risk advice to the University Executive Committee</w:t>
            </w:r>
          </w:p>
        </w:tc>
        <w:tc>
          <w:tcPr>
            <w:tcW w:w="2927" w:type="dxa"/>
            <w:tcBorders>
              <w:top w:val="outset" w:sz="6" w:space="0" w:color="auto"/>
              <w:left w:val="outset" w:sz="6" w:space="0" w:color="auto"/>
              <w:bottom w:val="outset" w:sz="6" w:space="0" w:color="auto"/>
              <w:right w:val="outset" w:sz="6" w:space="0" w:color="auto"/>
            </w:tcBorders>
            <w:vAlign w:val="center"/>
          </w:tcPr>
          <w:p w14:paraId="677125A7" w14:textId="77777777" w:rsidR="00974657" w:rsidRDefault="00974657" w:rsidP="00AA4CA4">
            <w:pPr>
              <w:pStyle w:val="MPLParapgrah"/>
            </w:pPr>
            <w:r>
              <w:t>Vice-President (Administration &amp; Finance) and Chief Operating Officer</w:t>
            </w:r>
          </w:p>
        </w:tc>
        <w:tc>
          <w:tcPr>
            <w:tcW w:w="2176" w:type="dxa"/>
            <w:tcBorders>
              <w:top w:val="outset" w:sz="6" w:space="0" w:color="auto"/>
              <w:left w:val="outset" w:sz="6" w:space="0" w:color="auto"/>
              <w:bottom w:val="outset" w:sz="6" w:space="0" w:color="auto"/>
              <w:right w:val="outset" w:sz="6" w:space="0" w:color="auto"/>
            </w:tcBorders>
            <w:vAlign w:val="center"/>
          </w:tcPr>
          <w:p w14:paraId="7ABE54BA" w14:textId="2050AB86" w:rsidR="00974657" w:rsidRDefault="00974657" w:rsidP="00AA4CA4">
            <w:pPr>
              <w:pStyle w:val="MPLParapgrah"/>
            </w:pPr>
            <w:proofErr w:type="gramStart"/>
            <w:r>
              <w:t>Taking into account</w:t>
            </w:r>
            <w:proofErr w:type="gramEnd"/>
            <w:r>
              <w:t xml:space="preserve"> any recommendations by </w:t>
            </w:r>
            <w:r w:rsidR="00063FFA">
              <w:t>RMCC</w:t>
            </w:r>
            <w:r w:rsidR="00D933BD">
              <w:t>.</w:t>
            </w:r>
          </w:p>
        </w:tc>
      </w:tr>
      <w:tr w:rsidR="00974657" w14:paraId="71960C27"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17414F52" w14:textId="77777777" w:rsidR="00974657" w:rsidRDefault="00974657" w:rsidP="00AA4CA4">
            <w:pPr>
              <w:pStyle w:val="MPLParapgrah"/>
            </w:pPr>
            <w:r>
              <w:t>Maintain University Risk Register</w:t>
            </w:r>
          </w:p>
        </w:tc>
        <w:tc>
          <w:tcPr>
            <w:tcW w:w="2927" w:type="dxa"/>
            <w:tcBorders>
              <w:top w:val="outset" w:sz="6" w:space="0" w:color="auto"/>
              <w:left w:val="outset" w:sz="6" w:space="0" w:color="auto"/>
              <w:bottom w:val="outset" w:sz="6" w:space="0" w:color="auto"/>
              <w:right w:val="outset" w:sz="6" w:space="0" w:color="auto"/>
            </w:tcBorders>
            <w:vAlign w:val="center"/>
          </w:tcPr>
          <w:p w14:paraId="3F8CBBCE" w14:textId="77777777" w:rsidR="00974657" w:rsidRDefault="00974657" w:rsidP="00AA4CA4">
            <w:pPr>
              <w:pStyle w:val="MPLParapgrah"/>
            </w:pPr>
            <w:r>
              <w:t>Legal and Risk</w:t>
            </w:r>
          </w:p>
        </w:tc>
        <w:tc>
          <w:tcPr>
            <w:tcW w:w="2176" w:type="dxa"/>
            <w:tcBorders>
              <w:top w:val="outset" w:sz="6" w:space="0" w:color="auto"/>
              <w:left w:val="outset" w:sz="6" w:space="0" w:color="auto"/>
              <w:bottom w:val="outset" w:sz="6" w:space="0" w:color="auto"/>
              <w:right w:val="outset" w:sz="6" w:space="0" w:color="auto"/>
            </w:tcBorders>
            <w:vAlign w:val="center"/>
          </w:tcPr>
          <w:p w14:paraId="150D9E76" w14:textId="77777777" w:rsidR="00974657" w:rsidRDefault="00974657" w:rsidP="00AA4CA4">
            <w:pPr>
              <w:pStyle w:val="MPLParapgrah"/>
            </w:pPr>
          </w:p>
          <w:p w14:paraId="4684D96D" w14:textId="77777777" w:rsidR="00974657" w:rsidRDefault="00974657" w:rsidP="00AA4CA4">
            <w:pPr>
              <w:pStyle w:val="MPLParapgrah"/>
            </w:pPr>
          </w:p>
        </w:tc>
      </w:tr>
      <w:tr w:rsidR="00974657" w14:paraId="16940F09"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245D210A" w14:textId="4A4F0EC2" w:rsidR="00974657" w:rsidRDefault="00974657" w:rsidP="00AA4CA4">
            <w:pPr>
              <w:pStyle w:val="MPLParapgrah"/>
            </w:pPr>
            <w:r>
              <w:t xml:space="preserve">Support the development of any </w:t>
            </w:r>
            <w:r w:rsidR="00D933BD">
              <w:t>portfolio</w:t>
            </w:r>
            <w:r>
              <w:t xml:space="preserve">, project / operational </w:t>
            </w:r>
            <w:r w:rsidR="002D4045">
              <w:t>and controll</w:t>
            </w:r>
            <w:r w:rsidR="00AC2EA6">
              <w:t>ed entity</w:t>
            </w:r>
            <w:r>
              <w:t xml:space="preserve"> risk registers</w:t>
            </w:r>
          </w:p>
        </w:tc>
        <w:tc>
          <w:tcPr>
            <w:tcW w:w="2927" w:type="dxa"/>
            <w:tcBorders>
              <w:top w:val="outset" w:sz="6" w:space="0" w:color="auto"/>
              <w:left w:val="outset" w:sz="6" w:space="0" w:color="auto"/>
              <w:bottom w:val="outset" w:sz="6" w:space="0" w:color="auto"/>
              <w:right w:val="outset" w:sz="6" w:space="0" w:color="auto"/>
            </w:tcBorders>
            <w:vAlign w:val="center"/>
          </w:tcPr>
          <w:p w14:paraId="23C953A0" w14:textId="77777777" w:rsidR="00974657" w:rsidRDefault="00974657" w:rsidP="00AA4CA4">
            <w:pPr>
              <w:pStyle w:val="MPLParapgrah"/>
            </w:pPr>
            <w:r>
              <w:t>Legal and Risk </w:t>
            </w:r>
          </w:p>
        </w:tc>
        <w:tc>
          <w:tcPr>
            <w:tcW w:w="2176" w:type="dxa"/>
            <w:tcBorders>
              <w:top w:val="outset" w:sz="6" w:space="0" w:color="auto"/>
              <w:left w:val="outset" w:sz="6" w:space="0" w:color="auto"/>
              <w:bottom w:val="outset" w:sz="6" w:space="0" w:color="auto"/>
              <w:right w:val="outset" w:sz="6" w:space="0" w:color="auto"/>
            </w:tcBorders>
            <w:vAlign w:val="center"/>
          </w:tcPr>
          <w:p w14:paraId="7D99F68A" w14:textId="77777777" w:rsidR="00974657" w:rsidRDefault="00974657" w:rsidP="00AA4CA4">
            <w:pPr>
              <w:pStyle w:val="MPLParapgrah"/>
            </w:pPr>
            <w:r>
              <w:t> </w:t>
            </w:r>
          </w:p>
        </w:tc>
      </w:tr>
      <w:tr w:rsidR="00974657" w14:paraId="57D39465"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49118C55" w14:textId="77777777" w:rsidR="00974657" w:rsidRDefault="00974657" w:rsidP="00AA4CA4">
            <w:pPr>
              <w:pStyle w:val="MPLParapgrah"/>
            </w:pPr>
            <w:r>
              <w:t>Maintain and administer Enterprise Risk Management System (ERMS)</w:t>
            </w:r>
          </w:p>
        </w:tc>
        <w:tc>
          <w:tcPr>
            <w:tcW w:w="2927" w:type="dxa"/>
            <w:tcBorders>
              <w:top w:val="outset" w:sz="6" w:space="0" w:color="auto"/>
              <w:left w:val="outset" w:sz="6" w:space="0" w:color="auto"/>
              <w:bottom w:val="outset" w:sz="6" w:space="0" w:color="auto"/>
              <w:right w:val="outset" w:sz="6" w:space="0" w:color="auto"/>
            </w:tcBorders>
            <w:vAlign w:val="center"/>
          </w:tcPr>
          <w:p w14:paraId="41417E55" w14:textId="77777777" w:rsidR="00974657" w:rsidRDefault="00974657" w:rsidP="00AA4CA4">
            <w:pPr>
              <w:pStyle w:val="MPLParapgrah"/>
            </w:pPr>
            <w:r>
              <w:t>Legal and Risk</w:t>
            </w:r>
          </w:p>
        </w:tc>
        <w:tc>
          <w:tcPr>
            <w:tcW w:w="2176" w:type="dxa"/>
            <w:tcBorders>
              <w:top w:val="outset" w:sz="6" w:space="0" w:color="auto"/>
              <w:left w:val="outset" w:sz="6" w:space="0" w:color="auto"/>
              <w:bottom w:val="outset" w:sz="6" w:space="0" w:color="auto"/>
              <w:right w:val="outset" w:sz="6" w:space="0" w:color="auto"/>
            </w:tcBorders>
            <w:vAlign w:val="center"/>
          </w:tcPr>
          <w:p w14:paraId="08985A79" w14:textId="77777777" w:rsidR="00974657" w:rsidRDefault="00974657" w:rsidP="00AA4CA4">
            <w:pPr>
              <w:pStyle w:val="MPLParapgrah"/>
            </w:pPr>
            <w:r>
              <w:t> </w:t>
            </w:r>
          </w:p>
        </w:tc>
      </w:tr>
      <w:tr w:rsidR="00974657" w14:paraId="779AD3E5"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6AF0C89F" w14:textId="77777777" w:rsidR="00974657" w:rsidRDefault="00974657" w:rsidP="00AA4CA4">
            <w:pPr>
              <w:pStyle w:val="MPLParapgrah"/>
            </w:pPr>
            <w:r>
              <w:t>Provide advice, training and documentation of process to support management of risk</w:t>
            </w:r>
          </w:p>
        </w:tc>
        <w:tc>
          <w:tcPr>
            <w:tcW w:w="2927" w:type="dxa"/>
            <w:tcBorders>
              <w:top w:val="outset" w:sz="6" w:space="0" w:color="auto"/>
              <w:left w:val="outset" w:sz="6" w:space="0" w:color="auto"/>
              <w:bottom w:val="outset" w:sz="6" w:space="0" w:color="auto"/>
              <w:right w:val="outset" w:sz="6" w:space="0" w:color="auto"/>
            </w:tcBorders>
            <w:vAlign w:val="center"/>
          </w:tcPr>
          <w:p w14:paraId="324D651D" w14:textId="77777777" w:rsidR="00974657" w:rsidRDefault="00974657" w:rsidP="00AA4CA4">
            <w:pPr>
              <w:pStyle w:val="MPLParapgrah"/>
            </w:pPr>
            <w:r>
              <w:t>Legal and Risk</w:t>
            </w:r>
          </w:p>
        </w:tc>
        <w:tc>
          <w:tcPr>
            <w:tcW w:w="2176" w:type="dxa"/>
            <w:tcBorders>
              <w:top w:val="outset" w:sz="6" w:space="0" w:color="auto"/>
              <w:left w:val="outset" w:sz="6" w:space="0" w:color="auto"/>
              <w:bottom w:val="outset" w:sz="6" w:space="0" w:color="auto"/>
              <w:right w:val="outset" w:sz="6" w:space="0" w:color="auto"/>
            </w:tcBorders>
            <w:vAlign w:val="center"/>
          </w:tcPr>
          <w:p w14:paraId="5E2CCBFF" w14:textId="77777777" w:rsidR="00974657" w:rsidRDefault="00974657" w:rsidP="00AA4CA4">
            <w:pPr>
              <w:pStyle w:val="MPLParapgrah"/>
            </w:pPr>
            <w:r>
              <w:t> </w:t>
            </w:r>
          </w:p>
        </w:tc>
      </w:tr>
      <w:tr w:rsidR="00974657" w14:paraId="20C9D3F7"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09BFE55E" w14:textId="77777777" w:rsidR="00974657" w:rsidRDefault="00974657" w:rsidP="00AA4CA4">
            <w:pPr>
              <w:pStyle w:val="MPLParapgrah"/>
            </w:pPr>
            <w:r>
              <w:t>Conduct internal audits to support the management of risk and compliance obligations</w:t>
            </w:r>
          </w:p>
        </w:tc>
        <w:tc>
          <w:tcPr>
            <w:tcW w:w="2927" w:type="dxa"/>
            <w:tcBorders>
              <w:top w:val="outset" w:sz="6" w:space="0" w:color="auto"/>
              <w:left w:val="outset" w:sz="6" w:space="0" w:color="auto"/>
              <w:bottom w:val="outset" w:sz="6" w:space="0" w:color="auto"/>
              <w:right w:val="outset" w:sz="6" w:space="0" w:color="auto"/>
            </w:tcBorders>
            <w:vAlign w:val="center"/>
          </w:tcPr>
          <w:p w14:paraId="21CEED4A" w14:textId="77777777" w:rsidR="00974657" w:rsidRDefault="00974657" w:rsidP="00AA4CA4">
            <w:pPr>
              <w:pStyle w:val="MPLParapgrah"/>
            </w:pPr>
            <w:r>
              <w:t>Legal and Risk </w:t>
            </w:r>
          </w:p>
        </w:tc>
        <w:tc>
          <w:tcPr>
            <w:tcW w:w="2176" w:type="dxa"/>
            <w:tcBorders>
              <w:top w:val="outset" w:sz="6" w:space="0" w:color="auto"/>
              <w:left w:val="outset" w:sz="6" w:space="0" w:color="auto"/>
              <w:bottom w:val="outset" w:sz="6" w:space="0" w:color="auto"/>
              <w:right w:val="outset" w:sz="6" w:space="0" w:color="auto"/>
            </w:tcBorders>
            <w:vAlign w:val="center"/>
          </w:tcPr>
          <w:p w14:paraId="1A71F4D2" w14:textId="5F130377" w:rsidR="00974657" w:rsidRDefault="00974657" w:rsidP="00AA4CA4">
            <w:pPr>
              <w:pStyle w:val="MPLParapgrah"/>
            </w:pPr>
            <w:proofErr w:type="gramStart"/>
            <w:r>
              <w:t>Taking into account</w:t>
            </w:r>
            <w:proofErr w:type="gramEnd"/>
            <w:r>
              <w:t xml:space="preserve"> recommendations from </w:t>
            </w:r>
            <w:r w:rsidR="00063FFA">
              <w:t>RMCC</w:t>
            </w:r>
            <w:r>
              <w:t xml:space="preserve"> and ARC in relation to risk-related audits</w:t>
            </w:r>
            <w:r w:rsidR="00AC2EA6">
              <w:t>.</w:t>
            </w:r>
          </w:p>
        </w:tc>
      </w:tr>
      <w:tr w:rsidR="00974657" w14:paraId="4560C63F"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79D55CA1" w14:textId="77777777" w:rsidR="00974657" w:rsidRDefault="00974657" w:rsidP="00AA4CA4">
            <w:pPr>
              <w:pStyle w:val="MPLParapgrah"/>
            </w:pPr>
            <w:r>
              <w:t xml:space="preserve">Develop and implement a </w:t>
            </w:r>
            <w:proofErr w:type="gramStart"/>
            <w:r>
              <w:t>University</w:t>
            </w:r>
            <w:proofErr w:type="gramEnd"/>
            <w:r>
              <w:t>-wide critical incident management program</w:t>
            </w:r>
          </w:p>
        </w:tc>
        <w:tc>
          <w:tcPr>
            <w:tcW w:w="2927" w:type="dxa"/>
            <w:tcBorders>
              <w:top w:val="outset" w:sz="6" w:space="0" w:color="auto"/>
              <w:left w:val="outset" w:sz="6" w:space="0" w:color="auto"/>
              <w:bottom w:val="outset" w:sz="6" w:space="0" w:color="auto"/>
              <w:right w:val="outset" w:sz="6" w:space="0" w:color="auto"/>
            </w:tcBorders>
            <w:vAlign w:val="center"/>
          </w:tcPr>
          <w:p w14:paraId="094F8BA5" w14:textId="77777777" w:rsidR="00974657" w:rsidRDefault="00974657" w:rsidP="00AA4CA4">
            <w:pPr>
              <w:pStyle w:val="MPLParapgrah"/>
            </w:pPr>
            <w:r>
              <w:t>Health and Safety</w:t>
            </w:r>
          </w:p>
        </w:tc>
        <w:tc>
          <w:tcPr>
            <w:tcW w:w="2176" w:type="dxa"/>
            <w:tcBorders>
              <w:top w:val="outset" w:sz="6" w:space="0" w:color="auto"/>
              <w:left w:val="outset" w:sz="6" w:space="0" w:color="auto"/>
              <w:bottom w:val="outset" w:sz="6" w:space="0" w:color="auto"/>
              <w:right w:val="outset" w:sz="6" w:space="0" w:color="auto"/>
            </w:tcBorders>
            <w:vAlign w:val="center"/>
          </w:tcPr>
          <w:p w14:paraId="4BACF5DC" w14:textId="70A3C0E6" w:rsidR="00974657" w:rsidRDefault="00974657" w:rsidP="00AA4CA4">
            <w:pPr>
              <w:pStyle w:val="MPLParapgrah"/>
            </w:pPr>
            <w:r>
              <w:t xml:space="preserve">Program to be reviewed and approved annually by the Vice-President (Administration &amp; Finance) and Chief Operating Officer, informed by advice from </w:t>
            </w:r>
            <w:r w:rsidR="00063FFA">
              <w:t>RMCC</w:t>
            </w:r>
            <w:r w:rsidR="00AC2EA6">
              <w:t>.</w:t>
            </w:r>
          </w:p>
        </w:tc>
      </w:tr>
      <w:tr w:rsidR="00974657" w14:paraId="68205646"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2CA24A1C" w14:textId="77777777" w:rsidR="00974657" w:rsidRDefault="00974657" w:rsidP="00AA4CA4">
            <w:pPr>
              <w:pStyle w:val="MPLParapgrah"/>
            </w:pPr>
            <w:r>
              <w:t>Coordinate the University's response to any critical incident that may occur</w:t>
            </w:r>
          </w:p>
        </w:tc>
        <w:tc>
          <w:tcPr>
            <w:tcW w:w="2927" w:type="dxa"/>
            <w:tcBorders>
              <w:top w:val="outset" w:sz="6" w:space="0" w:color="auto"/>
              <w:left w:val="outset" w:sz="6" w:space="0" w:color="auto"/>
              <w:bottom w:val="outset" w:sz="6" w:space="0" w:color="auto"/>
              <w:right w:val="outset" w:sz="6" w:space="0" w:color="auto"/>
            </w:tcBorders>
            <w:vAlign w:val="center"/>
          </w:tcPr>
          <w:p w14:paraId="6901EB3D" w14:textId="77777777" w:rsidR="00974657" w:rsidRDefault="00974657" w:rsidP="00AA4CA4">
            <w:pPr>
              <w:pStyle w:val="MPLParapgrah"/>
            </w:pPr>
            <w:r>
              <w:t>Incident Coordinator</w:t>
            </w:r>
          </w:p>
        </w:tc>
        <w:tc>
          <w:tcPr>
            <w:tcW w:w="2176" w:type="dxa"/>
            <w:tcBorders>
              <w:top w:val="outset" w:sz="6" w:space="0" w:color="auto"/>
              <w:left w:val="outset" w:sz="6" w:space="0" w:color="auto"/>
              <w:bottom w:val="outset" w:sz="6" w:space="0" w:color="auto"/>
              <w:right w:val="outset" w:sz="6" w:space="0" w:color="auto"/>
            </w:tcBorders>
            <w:vAlign w:val="center"/>
          </w:tcPr>
          <w:p w14:paraId="09AA5F8D" w14:textId="7EB749CA" w:rsidR="00974657" w:rsidRDefault="00974657" w:rsidP="00AA4CA4">
            <w:pPr>
              <w:pStyle w:val="MPLParapgrah"/>
            </w:pPr>
            <w:r>
              <w:t>Supported by the University’s Incident Management Team</w:t>
            </w:r>
            <w:r w:rsidR="00AC2EA6">
              <w:t>.</w:t>
            </w:r>
          </w:p>
        </w:tc>
      </w:tr>
      <w:tr w:rsidR="00F35C8F" w14:paraId="3FF4F0D3"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3B9AA228" w14:textId="77777777" w:rsidR="00F35C8F" w:rsidRDefault="003E2333" w:rsidP="00AA4CA4">
            <w:pPr>
              <w:pStyle w:val="MPLParapgrah"/>
            </w:pPr>
            <w:r>
              <w:t>D</w:t>
            </w:r>
            <w:r w:rsidR="00F35C8F">
              <w:t xml:space="preserve">evelop and implement a </w:t>
            </w:r>
            <w:proofErr w:type="gramStart"/>
            <w:r w:rsidR="00F35C8F">
              <w:t>University</w:t>
            </w:r>
            <w:proofErr w:type="gramEnd"/>
            <w:r w:rsidR="00F35C8F">
              <w:t xml:space="preserve">-wide business continuity program </w:t>
            </w:r>
          </w:p>
        </w:tc>
        <w:tc>
          <w:tcPr>
            <w:tcW w:w="2927" w:type="dxa"/>
            <w:tcBorders>
              <w:top w:val="outset" w:sz="6" w:space="0" w:color="auto"/>
              <w:left w:val="outset" w:sz="6" w:space="0" w:color="auto"/>
              <w:bottom w:val="outset" w:sz="6" w:space="0" w:color="auto"/>
              <w:right w:val="outset" w:sz="6" w:space="0" w:color="auto"/>
            </w:tcBorders>
            <w:vAlign w:val="center"/>
          </w:tcPr>
          <w:p w14:paraId="364BB37F" w14:textId="77777777" w:rsidR="00F35C8F" w:rsidRDefault="00F35C8F" w:rsidP="00AA4CA4">
            <w:pPr>
              <w:pStyle w:val="MPLParapgrah"/>
            </w:pPr>
            <w:r>
              <w:t>Vice-President (Administration &amp; Finance) and Chief Operating Officer</w:t>
            </w:r>
          </w:p>
        </w:tc>
        <w:tc>
          <w:tcPr>
            <w:tcW w:w="2176" w:type="dxa"/>
            <w:tcBorders>
              <w:top w:val="outset" w:sz="6" w:space="0" w:color="auto"/>
              <w:left w:val="outset" w:sz="6" w:space="0" w:color="auto"/>
              <w:bottom w:val="outset" w:sz="6" w:space="0" w:color="auto"/>
              <w:right w:val="outset" w:sz="6" w:space="0" w:color="auto"/>
            </w:tcBorders>
            <w:vAlign w:val="center"/>
          </w:tcPr>
          <w:p w14:paraId="1131D63F" w14:textId="20E7A97F" w:rsidR="00F35C8F" w:rsidRDefault="00F35C8F" w:rsidP="00AA4CA4">
            <w:pPr>
              <w:pStyle w:val="MPLParapgrah"/>
            </w:pPr>
            <w:r>
              <w:t>Program to be approved by the Vice-President (Administration &amp; Finance) and Chief Operating Officer, informed by advice from ROS</w:t>
            </w:r>
            <w:r w:rsidR="00AC2EA6">
              <w:t>.</w:t>
            </w:r>
          </w:p>
        </w:tc>
      </w:tr>
      <w:tr w:rsidR="00F35C8F" w14:paraId="0FB6E5D8"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32C7A280" w14:textId="77777777" w:rsidR="00F35C8F" w:rsidRDefault="00F35C8F" w:rsidP="00AA4CA4">
            <w:pPr>
              <w:pStyle w:val="MPLParapgrah"/>
            </w:pPr>
            <w:r>
              <w:t xml:space="preserve">Maintain business continuity plans </w:t>
            </w:r>
          </w:p>
        </w:tc>
        <w:tc>
          <w:tcPr>
            <w:tcW w:w="2927" w:type="dxa"/>
            <w:tcBorders>
              <w:top w:val="outset" w:sz="6" w:space="0" w:color="auto"/>
              <w:left w:val="outset" w:sz="6" w:space="0" w:color="auto"/>
              <w:bottom w:val="outset" w:sz="6" w:space="0" w:color="auto"/>
              <w:right w:val="outset" w:sz="6" w:space="0" w:color="auto"/>
            </w:tcBorders>
            <w:vAlign w:val="center"/>
          </w:tcPr>
          <w:p w14:paraId="2FB1C5CB" w14:textId="77777777" w:rsidR="00F35C8F" w:rsidRDefault="00F35C8F" w:rsidP="00AA4CA4">
            <w:pPr>
              <w:pStyle w:val="MPLParapgrah"/>
            </w:pPr>
            <w:r>
              <w:t>Deans and Portfolio Heads</w:t>
            </w:r>
          </w:p>
        </w:tc>
        <w:tc>
          <w:tcPr>
            <w:tcW w:w="2176" w:type="dxa"/>
            <w:tcBorders>
              <w:top w:val="outset" w:sz="6" w:space="0" w:color="auto"/>
              <w:left w:val="outset" w:sz="6" w:space="0" w:color="auto"/>
              <w:bottom w:val="outset" w:sz="6" w:space="0" w:color="auto"/>
              <w:right w:val="outset" w:sz="6" w:space="0" w:color="auto"/>
            </w:tcBorders>
            <w:vAlign w:val="center"/>
          </w:tcPr>
          <w:p w14:paraId="51FDC68D" w14:textId="03390170" w:rsidR="00F35C8F" w:rsidRDefault="00F35C8F" w:rsidP="00AA4CA4">
            <w:pPr>
              <w:pStyle w:val="MPLParapgrah"/>
            </w:pPr>
            <w:r>
              <w:t>Supported by the University’s Business Continuity and Resilience team</w:t>
            </w:r>
            <w:r w:rsidR="00DC5C2F">
              <w:t>.</w:t>
            </w:r>
          </w:p>
        </w:tc>
      </w:tr>
      <w:tr w:rsidR="00974657" w14:paraId="196F97A3"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769C420B" w14:textId="77777777" w:rsidR="00974657" w:rsidRDefault="00974657" w:rsidP="00AA4CA4">
            <w:pPr>
              <w:pStyle w:val="MPLParapgrah"/>
            </w:pPr>
            <w:r>
              <w:t>Identify and manage risk - perform day to day activities in an informed manner adhering to relevant compliance obligations</w:t>
            </w:r>
          </w:p>
        </w:tc>
        <w:tc>
          <w:tcPr>
            <w:tcW w:w="2927" w:type="dxa"/>
            <w:tcBorders>
              <w:top w:val="outset" w:sz="6" w:space="0" w:color="auto"/>
              <w:left w:val="outset" w:sz="6" w:space="0" w:color="auto"/>
              <w:bottom w:val="outset" w:sz="6" w:space="0" w:color="auto"/>
              <w:right w:val="outset" w:sz="6" w:space="0" w:color="auto"/>
            </w:tcBorders>
            <w:vAlign w:val="center"/>
          </w:tcPr>
          <w:p w14:paraId="639E9123" w14:textId="77777777" w:rsidR="00974657" w:rsidRDefault="00B14EF0" w:rsidP="00AA4CA4">
            <w:pPr>
              <w:pStyle w:val="MPLParapgrah"/>
            </w:pPr>
            <w:r>
              <w:t>S</w:t>
            </w:r>
            <w:r w:rsidR="00974657">
              <w:t>taff including persons authorised to undertake University business and/or activities (e.g. service providers and contractors)</w:t>
            </w:r>
          </w:p>
        </w:tc>
        <w:tc>
          <w:tcPr>
            <w:tcW w:w="2176" w:type="dxa"/>
            <w:tcBorders>
              <w:top w:val="outset" w:sz="6" w:space="0" w:color="auto"/>
              <w:left w:val="outset" w:sz="6" w:space="0" w:color="auto"/>
              <w:bottom w:val="outset" w:sz="6" w:space="0" w:color="auto"/>
              <w:right w:val="outset" w:sz="6" w:space="0" w:color="auto"/>
            </w:tcBorders>
            <w:vAlign w:val="center"/>
          </w:tcPr>
          <w:p w14:paraId="5532D058" w14:textId="2016D73F" w:rsidR="00974657" w:rsidRDefault="00974657" w:rsidP="00AA4CA4">
            <w:pPr>
              <w:pStyle w:val="MPLParapgrah"/>
            </w:pPr>
            <w:r>
              <w:t>Identification of risk and non-compliance to be raised/reported to the next most senior person for assessment</w:t>
            </w:r>
            <w:r w:rsidR="001F0302">
              <w:t>.</w:t>
            </w:r>
          </w:p>
        </w:tc>
      </w:tr>
      <w:tr w:rsidR="00974657" w14:paraId="147AC3FF"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69190F9F" w14:textId="77777777" w:rsidR="00974657" w:rsidRDefault="00974657" w:rsidP="00AA4CA4">
            <w:pPr>
              <w:pStyle w:val="MPLParapgrah"/>
            </w:pPr>
            <w:r>
              <w:t>Administer this policy, including informing and assisting staff on compliance issues and consider complaints of compliance breaches</w:t>
            </w:r>
          </w:p>
        </w:tc>
        <w:tc>
          <w:tcPr>
            <w:tcW w:w="2927" w:type="dxa"/>
            <w:tcBorders>
              <w:top w:val="outset" w:sz="6" w:space="0" w:color="auto"/>
              <w:left w:val="outset" w:sz="6" w:space="0" w:color="auto"/>
              <w:bottom w:val="outset" w:sz="6" w:space="0" w:color="auto"/>
              <w:right w:val="outset" w:sz="6" w:space="0" w:color="auto"/>
            </w:tcBorders>
            <w:vAlign w:val="center"/>
          </w:tcPr>
          <w:p w14:paraId="01792493" w14:textId="77777777" w:rsidR="00974657" w:rsidRDefault="00974657" w:rsidP="00AA4CA4">
            <w:pPr>
              <w:pStyle w:val="MPLParapgrah"/>
            </w:pPr>
            <w:r>
              <w:t xml:space="preserve"> Legal and Risk</w:t>
            </w:r>
          </w:p>
        </w:tc>
        <w:tc>
          <w:tcPr>
            <w:tcW w:w="2176" w:type="dxa"/>
            <w:tcBorders>
              <w:top w:val="outset" w:sz="6" w:space="0" w:color="auto"/>
              <w:left w:val="outset" w:sz="6" w:space="0" w:color="auto"/>
              <w:bottom w:val="outset" w:sz="6" w:space="0" w:color="auto"/>
              <w:right w:val="outset" w:sz="6" w:space="0" w:color="auto"/>
            </w:tcBorders>
            <w:vAlign w:val="center"/>
          </w:tcPr>
          <w:p w14:paraId="1F7CDEC4" w14:textId="77777777" w:rsidR="00974657" w:rsidRDefault="00974657" w:rsidP="00AA4CA4">
            <w:pPr>
              <w:pStyle w:val="MPLParapgrah"/>
            </w:pPr>
            <w:r>
              <w:t> </w:t>
            </w:r>
          </w:p>
        </w:tc>
      </w:tr>
      <w:tr w:rsidR="00974657" w14:paraId="18B2C6AA"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44BDD4DB" w14:textId="77777777" w:rsidR="00974657" w:rsidRDefault="00974657" w:rsidP="00AA4CA4">
            <w:pPr>
              <w:pStyle w:val="MPLParapgrah"/>
            </w:pPr>
            <w:r>
              <w:t>Maintain University-wide Compliance Obligations Register</w:t>
            </w:r>
          </w:p>
        </w:tc>
        <w:tc>
          <w:tcPr>
            <w:tcW w:w="2927" w:type="dxa"/>
            <w:tcBorders>
              <w:top w:val="outset" w:sz="6" w:space="0" w:color="auto"/>
              <w:left w:val="outset" w:sz="6" w:space="0" w:color="auto"/>
              <w:bottom w:val="outset" w:sz="6" w:space="0" w:color="auto"/>
              <w:right w:val="outset" w:sz="6" w:space="0" w:color="auto"/>
            </w:tcBorders>
            <w:vAlign w:val="center"/>
          </w:tcPr>
          <w:p w14:paraId="419BB521" w14:textId="77777777" w:rsidR="00974657" w:rsidRDefault="00974657" w:rsidP="00AA4CA4">
            <w:pPr>
              <w:pStyle w:val="MPLParapgrah"/>
            </w:pPr>
            <w:r>
              <w:t>Legal and Risk</w:t>
            </w:r>
          </w:p>
        </w:tc>
        <w:tc>
          <w:tcPr>
            <w:tcW w:w="2176" w:type="dxa"/>
            <w:tcBorders>
              <w:top w:val="outset" w:sz="6" w:space="0" w:color="auto"/>
              <w:left w:val="outset" w:sz="6" w:space="0" w:color="auto"/>
              <w:bottom w:val="outset" w:sz="6" w:space="0" w:color="auto"/>
              <w:right w:val="outset" w:sz="6" w:space="0" w:color="auto"/>
            </w:tcBorders>
            <w:vAlign w:val="center"/>
          </w:tcPr>
          <w:p w14:paraId="0D8093CD" w14:textId="77777777" w:rsidR="00974657" w:rsidRDefault="00974657" w:rsidP="00AA4CA4">
            <w:pPr>
              <w:pStyle w:val="MPLParapgrah"/>
            </w:pPr>
            <w:r>
              <w:t> </w:t>
            </w:r>
          </w:p>
        </w:tc>
      </w:tr>
      <w:tr w:rsidR="00974657" w14:paraId="1E085392"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1D7C1B29" w14:textId="77777777" w:rsidR="00974657" w:rsidRDefault="00974657" w:rsidP="00AA4CA4">
            <w:pPr>
              <w:pStyle w:val="MPLParapgrah"/>
            </w:pPr>
            <w:r>
              <w:t>Develop and implement Compliance Management Framework</w:t>
            </w:r>
          </w:p>
        </w:tc>
        <w:tc>
          <w:tcPr>
            <w:tcW w:w="2927" w:type="dxa"/>
            <w:tcBorders>
              <w:top w:val="outset" w:sz="6" w:space="0" w:color="auto"/>
              <w:left w:val="outset" w:sz="6" w:space="0" w:color="auto"/>
              <w:bottom w:val="outset" w:sz="6" w:space="0" w:color="auto"/>
              <w:right w:val="outset" w:sz="6" w:space="0" w:color="auto"/>
            </w:tcBorders>
            <w:vAlign w:val="center"/>
          </w:tcPr>
          <w:p w14:paraId="3D2ABE99" w14:textId="77777777" w:rsidR="00974657" w:rsidRDefault="00974657" w:rsidP="00AA4CA4">
            <w:pPr>
              <w:pStyle w:val="MPLParapgrah"/>
            </w:pPr>
            <w:r>
              <w:t>Legal and Risk</w:t>
            </w:r>
          </w:p>
        </w:tc>
        <w:tc>
          <w:tcPr>
            <w:tcW w:w="2176" w:type="dxa"/>
            <w:tcBorders>
              <w:top w:val="outset" w:sz="6" w:space="0" w:color="auto"/>
              <w:left w:val="outset" w:sz="6" w:space="0" w:color="auto"/>
              <w:bottom w:val="outset" w:sz="6" w:space="0" w:color="auto"/>
              <w:right w:val="outset" w:sz="6" w:space="0" w:color="auto"/>
            </w:tcBorders>
            <w:vAlign w:val="center"/>
          </w:tcPr>
          <w:p w14:paraId="2BDED118" w14:textId="77777777" w:rsidR="00974657" w:rsidRDefault="00974657" w:rsidP="00AA4CA4">
            <w:pPr>
              <w:pStyle w:val="MPLParapgrah"/>
            </w:pPr>
            <w:r>
              <w:t> </w:t>
            </w:r>
          </w:p>
        </w:tc>
      </w:tr>
      <w:tr w:rsidR="00974657" w14:paraId="00764069"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407AD750" w14:textId="77777777" w:rsidR="00974657" w:rsidRDefault="00974657" w:rsidP="00AA4CA4">
            <w:pPr>
              <w:pStyle w:val="MPLParapgrah"/>
            </w:pPr>
            <w:r>
              <w:t>Compliance with relevant compliance obligations</w:t>
            </w:r>
          </w:p>
        </w:tc>
        <w:tc>
          <w:tcPr>
            <w:tcW w:w="2927" w:type="dxa"/>
            <w:tcBorders>
              <w:top w:val="outset" w:sz="6" w:space="0" w:color="auto"/>
              <w:left w:val="outset" w:sz="6" w:space="0" w:color="auto"/>
              <w:bottom w:val="outset" w:sz="6" w:space="0" w:color="auto"/>
              <w:right w:val="outset" w:sz="6" w:space="0" w:color="auto"/>
            </w:tcBorders>
            <w:vAlign w:val="center"/>
          </w:tcPr>
          <w:p w14:paraId="43A2F8A5" w14:textId="77777777" w:rsidR="00974657" w:rsidRDefault="00B14EF0" w:rsidP="00AA4CA4">
            <w:pPr>
              <w:pStyle w:val="MPLParapgrah"/>
            </w:pPr>
            <w:r>
              <w:t>S</w:t>
            </w:r>
            <w:r w:rsidR="00974657">
              <w:t>taff, students, contractors and service providers</w:t>
            </w:r>
          </w:p>
        </w:tc>
        <w:tc>
          <w:tcPr>
            <w:tcW w:w="2176" w:type="dxa"/>
            <w:tcBorders>
              <w:top w:val="outset" w:sz="6" w:space="0" w:color="auto"/>
              <w:left w:val="outset" w:sz="6" w:space="0" w:color="auto"/>
              <w:bottom w:val="outset" w:sz="6" w:space="0" w:color="auto"/>
              <w:right w:val="outset" w:sz="6" w:space="0" w:color="auto"/>
            </w:tcBorders>
            <w:vAlign w:val="center"/>
          </w:tcPr>
          <w:p w14:paraId="5E29B0F3" w14:textId="77777777" w:rsidR="00974657" w:rsidRDefault="00974657" w:rsidP="00AA4CA4">
            <w:pPr>
              <w:pStyle w:val="MPLParapgrah"/>
            </w:pPr>
            <w:r>
              <w:t> </w:t>
            </w:r>
          </w:p>
        </w:tc>
      </w:tr>
      <w:tr w:rsidR="00974657" w14:paraId="334EB1EB"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53919F5C" w14:textId="77777777" w:rsidR="00974657" w:rsidRDefault="00974657" w:rsidP="00AA4CA4">
            <w:pPr>
              <w:pStyle w:val="MPLParapgrah"/>
            </w:pPr>
            <w:r>
              <w:t>Identify and mitigate compliance risks</w:t>
            </w:r>
          </w:p>
        </w:tc>
        <w:tc>
          <w:tcPr>
            <w:tcW w:w="2927" w:type="dxa"/>
            <w:tcBorders>
              <w:top w:val="outset" w:sz="6" w:space="0" w:color="auto"/>
              <w:left w:val="outset" w:sz="6" w:space="0" w:color="auto"/>
              <w:bottom w:val="outset" w:sz="6" w:space="0" w:color="auto"/>
              <w:right w:val="outset" w:sz="6" w:space="0" w:color="auto"/>
            </w:tcBorders>
            <w:vAlign w:val="center"/>
          </w:tcPr>
          <w:p w14:paraId="149B7480" w14:textId="77777777" w:rsidR="00974657" w:rsidRDefault="00974657" w:rsidP="00AA4CA4">
            <w:pPr>
              <w:pStyle w:val="MPLParapgrah"/>
            </w:pPr>
            <w:r>
              <w:t>Obligation owner</w:t>
            </w:r>
          </w:p>
        </w:tc>
        <w:tc>
          <w:tcPr>
            <w:tcW w:w="2176" w:type="dxa"/>
            <w:tcBorders>
              <w:top w:val="outset" w:sz="6" w:space="0" w:color="auto"/>
              <w:left w:val="outset" w:sz="6" w:space="0" w:color="auto"/>
              <w:bottom w:val="outset" w:sz="6" w:space="0" w:color="auto"/>
              <w:right w:val="outset" w:sz="6" w:space="0" w:color="auto"/>
            </w:tcBorders>
            <w:vAlign w:val="center"/>
          </w:tcPr>
          <w:p w14:paraId="2AD11CE8" w14:textId="77777777" w:rsidR="00974657" w:rsidRDefault="00974657" w:rsidP="00AA4CA4">
            <w:pPr>
              <w:pStyle w:val="MPLParapgrah"/>
            </w:pPr>
            <w:r>
              <w:t> </w:t>
            </w:r>
          </w:p>
        </w:tc>
      </w:tr>
      <w:tr w:rsidR="00974657" w14:paraId="156FCE91"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6D0C62B4" w14:textId="77777777" w:rsidR="00974657" w:rsidRDefault="00974657" w:rsidP="00AA4CA4">
            <w:pPr>
              <w:pStyle w:val="MPLParapgrah"/>
            </w:pPr>
            <w:r>
              <w:t>Deliver specific compliance training</w:t>
            </w:r>
          </w:p>
        </w:tc>
        <w:tc>
          <w:tcPr>
            <w:tcW w:w="2927" w:type="dxa"/>
            <w:tcBorders>
              <w:top w:val="outset" w:sz="6" w:space="0" w:color="auto"/>
              <w:left w:val="outset" w:sz="6" w:space="0" w:color="auto"/>
              <w:bottom w:val="outset" w:sz="6" w:space="0" w:color="auto"/>
              <w:right w:val="outset" w:sz="6" w:space="0" w:color="auto"/>
            </w:tcBorders>
            <w:vAlign w:val="center"/>
          </w:tcPr>
          <w:p w14:paraId="0F338788" w14:textId="77777777" w:rsidR="00974657" w:rsidRDefault="00974657" w:rsidP="00AA4CA4">
            <w:pPr>
              <w:pStyle w:val="MPLParapgrah"/>
            </w:pPr>
            <w:r>
              <w:t>Legal and Risk</w:t>
            </w:r>
          </w:p>
        </w:tc>
        <w:tc>
          <w:tcPr>
            <w:tcW w:w="2176" w:type="dxa"/>
            <w:tcBorders>
              <w:top w:val="outset" w:sz="6" w:space="0" w:color="auto"/>
              <w:left w:val="outset" w:sz="6" w:space="0" w:color="auto"/>
              <w:bottom w:val="outset" w:sz="6" w:space="0" w:color="auto"/>
              <w:right w:val="outset" w:sz="6" w:space="0" w:color="auto"/>
            </w:tcBorders>
            <w:vAlign w:val="center"/>
          </w:tcPr>
          <w:p w14:paraId="46E334DD" w14:textId="0FABB15B" w:rsidR="00974657" w:rsidRDefault="00974657" w:rsidP="00AA4CA4">
            <w:pPr>
              <w:pStyle w:val="MPLParapgrah"/>
            </w:pPr>
            <w:r>
              <w:t>As identified by the compliance owner in conjunction with Legal and Risk</w:t>
            </w:r>
            <w:r w:rsidR="00B34EBE">
              <w:t>.</w:t>
            </w:r>
            <w:r>
              <w:t> </w:t>
            </w:r>
          </w:p>
        </w:tc>
      </w:tr>
      <w:tr w:rsidR="00974657" w14:paraId="067F9F0A" w14:textId="77777777" w:rsidTr="00E1486E">
        <w:tc>
          <w:tcPr>
            <w:tcW w:w="4596" w:type="dxa"/>
            <w:tcBorders>
              <w:top w:val="outset" w:sz="6" w:space="0" w:color="auto"/>
              <w:left w:val="outset" w:sz="6" w:space="0" w:color="auto"/>
              <w:bottom w:val="outset" w:sz="6" w:space="0" w:color="auto"/>
              <w:right w:val="outset" w:sz="6" w:space="0" w:color="auto"/>
            </w:tcBorders>
            <w:vAlign w:val="center"/>
          </w:tcPr>
          <w:p w14:paraId="7D5440B4" w14:textId="77777777" w:rsidR="00974657" w:rsidRDefault="00974657" w:rsidP="00AA4CA4">
            <w:pPr>
              <w:pStyle w:val="MPLParapgrah"/>
            </w:pPr>
            <w:r>
              <w:t>Manage and report non-compliance</w:t>
            </w:r>
          </w:p>
        </w:tc>
        <w:tc>
          <w:tcPr>
            <w:tcW w:w="2927" w:type="dxa"/>
            <w:tcBorders>
              <w:top w:val="outset" w:sz="6" w:space="0" w:color="auto"/>
              <w:left w:val="outset" w:sz="6" w:space="0" w:color="auto"/>
              <w:bottom w:val="outset" w:sz="6" w:space="0" w:color="auto"/>
              <w:right w:val="outset" w:sz="6" w:space="0" w:color="auto"/>
            </w:tcBorders>
            <w:vAlign w:val="center"/>
          </w:tcPr>
          <w:p w14:paraId="244323CA" w14:textId="77777777" w:rsidR="00974657" w:rsidRDefault="00974657" w:rsidP="00AA4CA4">
            <w:pPr>
              <w:pStyle w:val="MPLParapgrah"/>
            </w:pPr>
            <w:r>
              <w:t>Obligation owner</w:t>
            </w:r>
          </w:p>
        </w:tc>
        <w:tc>
          <w:tcPr>
            <w:tcW w:w="2176" w:type="dxa"/>
            <w:tcBorders>
              <w:top w:val="outset" w:sz="6" w:space="0" w:color="auto"/>
              <w:left w:val="outset" w:sz="6" w:space="0" w:color="auto"/>
              <w:bottom w:val="outset" w:sz="6" w:space="0" w:color="auto"/>
              <w:right w:val="outset" w:sz="6" w:space="0" w:color="auto"/>
            </w:tcBorders>
            <w:vAlign w:val="center"/>
          </w:tcPr>
          <w:p w14:paraId="3EC0D386" w14:textId="48870597" w:rsidR="00974657" w:rsidRDefault="00974657" w:rsidP="00AA4CA4">
            <w:pPr>
              <w:pStyle w:val="MPLParapgrah"/>
            </w:pPr>
            <w:r>
              <w:t>Reporting of non-compliance to Legal and Risk and / or Regulators as required</w:t>
            </w:r>
            <w:r w:rsidR="00B34EBE">
              <w:t>.</w:t>
            </w:r>
          </w:p>
        </w:tc>
      </w:tr>
    </w:tbl>
    <w:p w14:paraId="6904F090" w14:textId="77777777" w:rsidR="00974657" w:rsidRDefault="00974657" w:rsidP="00F1791A">
      <w:pPr>
        <w:pStyle w:val="MPLHeading1"/>
      </w:pPr>
      <w:r>
        <w:t>Definitions</w:t>
      </w:r>
    </w:p>
    <w:p w14:paraId="7D8DAB69" w14:textId="77777777" w:rsidR="00974657" w:rsidRDefault="00974657" w:rsidP="009777DA">
      <w:pPr>
        <w:pStyle w:val="MPLParapgrah"/>
      </w:pPr>
      <w:r>
        <w:rPr>
          <w:b/>
          <w:bCs/>
        </w:rPr>
        <w:t xml:space="preserve">Business continuity </w:t>
      </w:r>
      <w:r w:rsidR="00F35C8F">
        <w:rPr>
          <w:b/>
          <w:bCs/>
        </w:rPr>
        <w:t xml:space="preserve">planning and </w:t>
      </w:r>
      <w:r>
        <w:rPr>
          <w:b/>
          <w:bCs/>
        </w:rPr>
        <w:t>management </w:t>
      </w:r>
      <w:r>
        <w:t xml:space="preserve">means a process that </w:t>
      </w:r>
      <w:r w:rsidR="00F35C8F">
        <w:t xml:space="preserve">supports alignment of business planning with </w:t>
      </w:r>
      <w:r>
        <w:t>potential threats to an organisation and the impacts to business operations; and provides a systematic approach for building organisational resilience</w:t>
      </w:r>
      <w:r w:rsidR="00F35C8F">
        <w:t xml:space="preserve"> and response</w:t>
      </w:r>
      <w:r>
        <w:t>.</w:t>
      </w:r>
    </w:p>
    <w:p w14:paraId="3EF5D8F3" w14:textId="77777777" w:rsidR="00974657" w:rsidRDefault="00974657" w:rsidP="009777DA">
      <w:pPr>
        <w:pStyle w:val="MPLParapgrah"/>
      </w:pPr>
      <w:r>
        <w:rPr>
          <w:b/>
          <w:bCs/>
        </w:rPr>
        <w:t xml:space="preserve">Compliance </w:t>
      </w:r>
      <w:r>
        <w:t>means meeting the University’s compliance obligations.</w:t>
      </w:r>
    </w:p>
    <w:p w14:paraId="7890BB37" w14:textId="77777777" w:rsidR="00974657" w:rsidRDefault="00974657" w:rsidP="009777DA">
      <w:pPr>
        <w:pStyle w:val="MPLParapgrah"/>
      </w:pPr>
      <w:r>
        <w:rPr>
          <w:b/>
          <w:bCs/>
        </w:rPr>
        <w:t>Compliance obligations </w:t>
      </w:r>
      <w:proofErr w:type="gramStart"/>
      <w:r>
        <w:t>has</w:t>
      </w:r>
      <w:proofErr w:type="gramEnd"/>
      <w:r>
        <w:t xml:space="preserve"> the same meaning as in the Compliance Management Framework.</w:t>
      </w:r>
    </w:p>
    <w:p w14:paraId="636B1E1F" w14:textId="77777777" w:rsidR="00974657" w:rsidRDefault="00974657" w:rsidP="009777DA">
      <w:pPr>
        <w:pStyle w:val="MPLParapgrah"/>
      </w:pPr>
      <w:r>
        <w:rPr>
          <w:b/>
          <w:bCs/>
        </w:rPr>
        <w:t>Compliance obligations register</w:t>
      </w:r>
      <w:r>
        <w:t xml:space="preserve"> means a comprehensive list of the compliance obligations of </w:t>
      </w:r>
      <w:r w:rsidR="00B14EF0">
        <w:t xml:space="preserve">the </w:t>
      </w:r>
      <w:r>
        <w:t>University</w:t>
      </w:r>
      <w:r w:rsidR="00B14EF0">
        <w:t>’s</w:t>
      </w:r>
      <w:r>
        <w:t xml:space="preserve"> functions and activities.</w:t>
      </w:r>
    </w:p>
    <w:p w14:paraId="1F6F6FE5" w14:textId="77777777" w:rsidR="00974657" w:rsidRDefault="00974657" w:rsidP="009777DA">
      <w:pPr>
        <w:pStyle w:val="MPLParapgrah"/>
      </w:pPr>
      <w:r>
        <w:rPr>
          <w:b/>
          <w:bCs/>
        </w:rPr>
        <w:t xml:space="preserve">Critical incident </w:t>
      </w:r>
      <w:r>
        <w:t>means an event that may adversely affect the university and requires an immediate response. It is likely to cause significant personal illness or injury, substantial impact to operations and commercial prospects, a degradation of reputation, or lead to an impact on the wider community.</w:t>
      </w:r>
    </w:p>
    <w:p w14:paraId="1124557F" w14:textId="77777777" w:rsidR="00974657" w:rsidRDefault="00974657" w:rsidP="009777DA">
      <w:pPr>
        <w:pStyle w:val="MPLParapgrah"/>
      </w:pPr>
      <w:r>
        <w:rPr>
          <w:b/>
          <w:bCs/>
        </w:rPr>
        <w:t xml:space="preserve">Risk </w:t>
      </w:r>
      <w:r>
        <w:t>means the effect of uncertainty on objectives.</w:t>
      </w:r>
    </w:p>
    <w:p w14:paraId="39F0B08B" w14:textId="77777777" w:rsidR="00974657" w:rsidRDefault="00974657" w:rsidP="009777DA">
      <w:pPr>
        <w:pStyle w:val="MPLParapgrah"/>
      </w:pPr>
      <w:r>
        <w:rPr>
          <w:b/>
          <w:bCs/>
        </w:rPr>
        <w:t>Risk management</w:t>
      </w:r>
      <w:r>
        <w:t> means the coordinated activities of identifying, assessing and controlling threats or risks to the University and its activities.</w:t>
      </w:r>
    </w:p>
    <w:p w14:paraId="61B1A24E" w14:textId="77777777" w:rsidR="00974657" w:rsidRDefault="00974657" w:rsidP="009777DA">
      <w:pPr>
        <w:pStyle w:val="MPLParapgrah"/>
      </w:pPr>
      <w:r>
        <w:rPr>
          <w:b/>
          <w:bCs/>
        </w:rPr>
        <w:t>Risk register</w:t>
      </w:r>
      <w:r>
        <w:t> means the comprehensive list that describes the type of risk and related characteristics, including risk owners; inherent</w:t>
      </w:r>
      <w:r w:rsidR="002E0485">
        <w:t>,</w:t>
      </w:r>
      <w:r>
        <w:t xml:space="preserve"> residual</w:t>
      </w:r>
      <w:r w:rsidR="002E0485">
        <w:t xml:space="preserve"> and target</w:t>
      </w:r>
      <w:r>
        <w:t xml:space="preserve"> risk ratings; controls in place and control effectiveness; and treatment plans.</w:t>
      </w:r>
    </w:p>
    <w:p w14:paraId="76AC740F" w14:textId="77777777" w:rsidR="00974657" w:rsidRDefault="00974657" w:rsidP="009777DA">
      <w:pPr>
        <w:pStyle w:val="MPLParapgrah"/>
      </w:pPr>
      <w:r>
        <w:rPr>
          <w:b/>
          <w:bCs/>
        </w:rPr>
        <w:t>University Risk Register </w:t>
      </w:r>
      <w:r>
        <w:t>means a detailed record of risks that could impact the ability of the University to achieve its strategy/long term ambitions. These risks in the register require oversight at the institutional level.</w:t>
      </w:r>
    </w:p>
    <w:p w14:paraId="50ED489A" w14:textId="77777777" w:rsidR="00974657" w:rsidRDefault="00974657" w:rsidP="00531964">
      <w:pPr>
        <w:pStyle w:val="MPLNoNumberingHeadings"/>
      </w:pPr>
      <w:r>
        <w:t>POLICY APPROVER</w:t>
      </w:r>
    </w:p>
    <w:p w14:paraId="3A071E2D" w14:textId="77777777" w:rsidR="00974657" w:rsidRDefault="00974657" w:rsidP="00531964">
      <w:pPr>
        <w:pStyle w:val="MPLParapgrah"/>
      </w:pPr>
      <w:r>
        <w:t>Council</w:t>
      </w:r>
    </w:p>
    <w:p w14:paraId="3E1D8335" w14:textId="77777777" w:rsidR="00974657" w:rsidRDefault="005921E7" w:rsidP="00531964">
      <w:pPr>
        <w:pStyle w:val="MPLNoNumberingHeadings"/>
      </w:pPr>
      <w:r>
        <w:t>P</w:t>
      </w:r>
      <w:r w:rsidR="00974657">
        <w:t>OLICY STEWARD</w:t>
      </w:r>
    </w:p>
    <w:p w14:paraId="0D3F6073" w14:textId="77777777" w:rsidR="009B61E9" w:rsidRDefault="00974657" w:rsidP="00531964">
      <w:pPr>
        <w:pStyle w:val="MPLParapgrah"/>
      </w:pPr>
      <w:r>
        <w:t>General Counsel</w:t>
      </w:r>
      <w:r w:rsidR="009F0AE2">
        <w:t xml:space="preserve"> and</w:t>
      </w:r>
      <w:r w:rsidR="007C60BE" w:rsidRPr="007C60BE">
        <w:t xml:space="preserve"> </w:t>
      </w:r>
      <w:r w:rsidR="007C60BE">
        <w:t>Executive Director, Legal &amp; Risk</w:t>
      </w:r>
    </w:p>
    <w:p w14:paraId="5363C73C" w14:textId="77777777" w:rsidR="00974657" w:rsidRDefault="00974657" w:rsidP="007C0839">
      <w:pPr>
        <w:pStyle w:val="MPLNoNumberingHeadings"/>
      </w:pPr>
      <w:r>
        <w:t>REVIEW</w:t>
      </w:r>
    </w:p>
    <w:p w14:paraId="7F5588C4" w14:textId="5E03C814" w:rsidR="001F69DC" w:rsidRDefault="00974657" w:rsidP="00112FDC">
      <w:pPr>
        <w:pStyle w:val="MPLParapgrah"/>
      </w:pPr>
      <w:r>
        <w:t>This policy will be reviewed by 3 December 202</w:t>
      </w:r>
      <w:r w:rsidR="00F67786">
        <w:t>5</w:t>
      </w:r>
      <w:r>
        <w:t>.</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Pr>
                <w:b/>
              </w:rPr>
              <w:t xml:space="preserve">Version </w:t>
            </w:r>
          </w:p>
        </w:tc>
        <w:tc>
          <w:tcPr>
            <w:tcW w:type="dxa" w:w="1728"/>
          </w:tcPr>
          <w:p>
            <w:r>
              <w:rPr>
                <w:b/>
              </w:rPr>
              <w:t xml:space="preserve">Approved By </w:t>
            </w:r>
          </w:p>
        </w:tc>
        <w:tc>
          <w:tcPr>
            <w:tcW w:type="dxa" w:w="1728"/>
          </w:tcPr>
          <w:p>
            <w:r>
              <w:rPr>
                <w:b/>
              </w:rPr>
              <w:t xml:space="preserve">Approval Date </w:t>
            </w:r>
          </w:p>
        </w:tc>
        <w:tc>
          <w:tcPr>
            <w:tcW w:type="dxa" w:w="1728"/>
          </w:tcPr>
          <w:p>
            <w:r>
              <w:rPr>
                <w:b/>
              </w:rPr>
              <w:t xml:space="preserve">Effective Date </w:t>
            </w:r>
          </w:p>
        </w:tc>
        <w:tc>
          <w:tcPr>
            <w:tcW w:type="dxa" w:w="1728"/>
          </w:tcPr>
          <w:p>
            <w:r>
              <w:rPr>
                <w:b/>
              </w:rPr>
              <w:t xml:space="preserve">Sections Modified </w:t>
            </w:r>
          </w:p>
        </w:tc>
      </w:tr>
      <w:tr>
        <w:tc>
          <w:tcPr>
            <w:tcW w:type="dxa" w:w="1728"/>
          </w:tcPr>
          <w:p>
            <w:r>
              <w:t xml:space="preserve">1 </w:t>
            </w:r>
          </w:p>
        </w:tc>
        <w:tc>
          <w:tcPr>
            <w:tcW w:type="dxa" w:w="1728"/>
          </w:tcPr>
          <w:p>
            <w:r>
              <w:t xml:space="preserve">Council </w:t>
            </w:r>
          </w:p>
        </w:tc>
        <w:tc>
          <w:tcPr>
            <w:tcW w:type="dxa" w:w="1728"/>
          </w:tcPr>
          <w:p>
            <w:r>
              <w:t xml:space="preserve">8 July 2013 </w:t>
            </w:r>
          </w:p>
        </w:tc>
        <w:tc>
          <w:tcPr>
            <w:tcW w:type="dxa" w:w="1728"/>
          </w:tcPr>
          <w:p>
            <w:r>
              <w:t xml:space="preserve">8 July 2013 </w:t>
            </w:r>
          </w:p>
        </w:tc>
        <w:tc>
          <w:tcPr>
            <w:tcW w:type="dxa" w:w="1728"/>
          </w:tcPr>
          <w:p>
            <w:r/>
          </w:p>
          <w:p>
            <w:r/>
            <w:r/>
            <w:r>
              <w:t xml:space="preserve">N/A </w:t>
            </w:r>
            <w:r/>
            <w:r/>
          </w:p>
        </w:tc>
      </w:tr>
      <w:tr>
        <w:tc>
          <w:tcPr>
            <w:tcW w:type="dxa" w:w="1728"/>
          </w:tcPr>
          <w:p>
            <w:r>
              <w:t xml:space="preserve">2 </w:t>
            </w:r>
          </w:p>
        </w:tc>
        <w:tc>
          <w:tcPr>
            <w:tcW w:type="dxa" w:w="1728"/>
          </w:tcPr>
          <w:p>
            <w:r>
              <w:t xml:space="preserve">Governance and Nominations Committee authorised by Council </w:t>
            </w:r>
          </w:p>
        </w:tc>
        <w:tc>
          <w:tcPr>
            <w:tcW w:type="dxa" w:w="1728"/>
          </w:tcPr>
          <w:p>
            <w:r>
              <w:t xml:space="preserve">23 June 2016 </w:t>
            </w:r>
          </w:p>
        </w:tc>
        <w:tc>
          <w:tcPr>
            <w:tcW w:type="dxa" w:w="1728"/>
          </w:tcPr>
          <w:p>
            <w:r>
              <w:t xml:space="preserve">21 July 2016 </w:t>
            </w:r>
          </w:p>
        </w:tc>
        <w:tc>
          <w:tcPr>
            <w:tcW w:type="dxa" w:w="1728"/>
          </w:tcPr>
          <w:p>
            <w:r/>
          </w:p>
          <w:p>
            <w:r/>
            <w:r/>
            <w:r>
              <w:t xml:space="preserve">New version arising from the Policy Consolidation Project, incorporating the Risk Management Policy (MPF1194), Risk Management Procedure (MPF1097) and Compliance Policy (MPF1100). </w:t>
            </w:r>
            <w:r/>
            <w:r/>
          </w:p>
        </w:tc>
      </w:tr>
      <w:tr>
        <w:tc>
          <w:tcPr>
            <w:tcW w:type="dxa" w:w="1728"/>
          </w:tcPr>
          <w:p>
            <w:r>
              <w:t xml:space="preserve">3 </w:t>
            </w:r>
          </w:p>
        </w:tc>
        <w:tc>
          <w:tcPr>
            <w:tcW w:type="dxa" w:w="1728"/>
          </w:tcPr>
          <w:p>
            <w:r>
              <w:t xml:space="preserve">Council </w:t>
            </w:r>
          </w:p>
        </w:tc>
        <w:tc>
          <w:tcPr>
            <w:tcW w:type="dxa" w:w="1728"/>
          </w:tcPr>
          <w:p>
            <w:r>
              <w:t xml:space="preserve">24 August 2017 </w:t>
            </w:r>
          </w:p>
        </w:tc>
        <w:tc>
          <w:tcPr>
            <w:tcW w:type="dxa" w:w="1728"/>
          </w:tcPr>
          <w:p>
            <w:r>
              <w:t xml:space="preserve">28 August 2017 </w:t>
            </w:r>
          </w:p>
        </w:tc>
        <w:tc>
          <w:tcPr>
            <w:tcW w:type="dxa" w:w="1728"/>
          </w:tcPr>
          <w:p>
            <w:r/>
          </w:p>
          <w:p>
            <w:r/>
            <w:r/>
            <w:r>
              <w:t xml:space="preserve">Roles and responsibilities updated to improve clarity. </w:t>
            </w:r>
            <w:r/>
            <w:r/>
          </w:p>
        </w:tc>
      </w:tr>
      <w:tr>
        <w:tc>
          <w:tcPr>
            <w:tcW w:type="dxa" w:w="1728"/>
          </w:tcPr>
          <w:p>
            <w:r>
              <w:t xml:space="preserve">4 </w:t>
            </w:r>
          </w:p>
        </w:tc>
        <w:tc>
          <w:tcPr>
            <w:tcW w:type="dxa" w:w="1728"/>
          </w:tcPr>
          <w:p>
            <w:r>
              <w:t xml:space="preserve">University Secretary </w:t>
            </w:r>
          </w:p>
        </w:tc>
        <w:tc>
          <w:tcPr>
            <w:tcW w:type="dxa" w:w="1728"/>
          </w:tcPr>
          <w:p>
            <w:r>
              <w:t xml:space="preserve">24 May 2019 </w:t>
            </w:r>
          </w:p>
        </w:tc>
        <w:tc>
          <w:tcPr>
            <w:tcW w:type="dxa" w:w="1728"/>
          </w:tcPr>
          <w:p>
            <w:r>
              <w:t xml:space="preserve">31 May 2019 </w:t>
            </w:r>
          </w:p>
        </w:tc>
        <w:tc>
          <w:tcPr>
            <w:tcW w:type="dxa" w:w="1728"/>
          </w:tcPr>
          <w:p>
            <w:r/>
          </w:p>
          <w:p>
            <w:r/>
            <w:r/>
            <w:r>
              <w:t xml:space="preserve">Amended titles in Sections 4 and 6. </w:t>
            </w:r>
            <w:r/>
            <w:r/>
          </w:p>
        </w:tc>
      </w:tr>
      <w:tr>
        <w:tc>
          <w:tcPr>
            <w:tcW w:type="dxa" w:w="1728"/>
          </w:tcPr>
          <w:p>
            <w:r>
              <w:t xml:space="preserve">5 </w:t>
            </w:r>
          </w:p>
        </w:tc>
        <w:tc>
          <w:tcPr>
            <w:tcW w:type="dxa" w:w="1728"/>
          </w:tcPr>
          <w:p>
            <w:r>
              <w:t xml:space="preserve">Vice-Chancellor on behalf of Council under Section 5(5) Vice-Chancellor Regulation </w:t>
            </w:r>
          </w:p>
        </w:tc>
        <w:tc>
          <w:tcPr>
            <w:tcW w:type="dxa" w:w="1728"/>
          </w:tcPr>
          <w:p>
            <w:r>
              <w:t xml:space="preserve">31 July 2019 </w:t>
            </w:r>
          </w:p>
        </w:tc>
        <w:tc>
          <w:tcPr>
            <w:tcW w:type="dxa" w:w="1728"/>
          </w:tcPr>
          <w:p>
            <w:r>
              <w:t xml:space="preserve">1 August 2019 </w:t>
            </w:r>
          </w:p>
        </w:tc>
        <w:tc>
          <w:tcPr>
            <w:tcW w:type="dxa" w:w="1728"/>
          </w:tcPr>
          <w:p>
            <w:r/>
          </w:p>
          <w:p>
            <w:r/>
            <w:r/>
            <w:r>
              <w:t xml:space="preserve">Amended titles in Section 5 and 6. </w:t>
            </w:r>
            <w:r/>
            <w:r/>
          </w:p>
        </w:tc>
      </w:tr>
      <w:tr>
        <w:tc>
          <w:tcPr>
            <w:tcW w:type="dxa" w:w="1728"/>
          </w:tcPr>
          <w:p>
            <w:r>
              <w:t xml:space="preserve">6 </w:t>
            </w:r>
          </w:p>
        </w:tc>
        <w:tc>
          <w:tcPr>
            <w:tcW w:type="dxa" w:w="1728"/>
          </w:tcPr>
          <w:p>
            <w:r>
              <w:t xml:space="preserve">Council </w:t>
            </w:r>
          </w:p>
        </w:tc>
        <w:tc>
          <w:tcPr>
            <w:tcW w:type="dxa" w:w="1728"/>
          </w:tcPr>
          <w:p>
            <w:r>
              <w:t xml:space="preserve">3 December 2019 </w:t>
            </w:r>
          </w:p>
        </w:tc>
        <w:tc>
          <w:tcPr>
            <w:tcW w:type="dxa" w:w="1728"/>
          </w:tcPr>
          <w:p>
            <w:r>
              <w:t xml:space="preserve">12 December 2019 </w:t>
            </w:r>
          </w:p>
        </w:tc>
        <w:tc>
          <w:tcPr>
            <w:tcW w:type="dxa" w:w="1728"/>
          </w:tcPr>
          <w:p>
            <w:r/>
          </w:p>
          <w:p>
            <w:r/>
            <w:r/>
            <w:r>
              <w:t xml:space="preserve">Roles and responsibilities updated. Clarification of approach to compliance, critical incident and business continuity management. </w:t>
            </w:r>
            <w:r/>
            <w:r/>
          </w:p>
        </w:tc>
      </w:tr>
      <w:tr>
        <w:tc>
          <w:tcPr>
            <w:tcW w:type="dxa" w:w="1728"/>
          </w:tcPr>
          <w:p>
            <w:r>
              <w:t xml:space="preserve">7 </w:t>
            </w:r>
          </w:p>
        </w:tc>
        <w:tc>
          <w:tcPr>
            <w:tcW w:type="dxa" w:w="1728"/>
          </w:tcPr>
          <w:p>
            <w:r>
              <w:t xml:space="preserve">Policy Officer </w:t>
            </w:r>
          </w:p>
        </w:tc>
        <w:tc>
          <w:tcPr>
            <w:tcW w:type="dxa" w:w="1728"/>
          </w:tcPr>
          <w:p>
            <w:r>
              <w:t xml:space="preserve">5 October 2020 </w:t>
            </w:r>
          </w:p>
        </w:tc>
        <w:tc>
          <w:tcPr>
            <w:tcW w:type="dxa" w:w="1728"/>
          </w:tcPr>
          <w:p>
            <w:r>
              <w:t xml:space="preserve">5 October 2020 </w:t>
            </w:r>
          </w:p>
        </w:tc>
        <w:tc>
          <w:tcPr>
            <w:tcW w:type="dxa" w:w="1728"/>
          </w:tcPr>
          <w:p>
            <w:r/>
          </w:p>
          <w:p>
            <w:r/>
            <w:r/>
            <w:r>
              <w:t xml:space="preserve">Corrected references to 'University Executive' to 'University Executive Committee'. </w:t>
            </w:r>
            <w:r/>
            <w:r/>
          </w:p>
        </w:tc>
      </w:tr>
      <w:tr>
        <w:tc>
          <w:tcPr>
            <w:tcW w:type="dxa" w:w="1728"/>
          </w:tcPr>
          <w:p>
            <w:r>
              <w:t xml:space="preserve">8 </w:t>
            </w:r>
          </w:p>
        </w:tc>
        <w:tc>
          <w:tcPr>
            <w:tcW w:type="dxa" w:w="1728"/>
          </w:tcPr>
          <w:p>
            <w:r>
              <w:t xml:space="preserve">Executive Director, Legal &amp; Risk and General Counsel </w:t>
            </w:r>
          </w:p>
        </w:tc>
        <w:tc>
          <w:tcPr>
            <w:tcW w:type="dxa" w:w="1728"/>
          </w:tcPr>
          <w:p>
            <w:r>
              <w:t xml:space="preserve">5 July 2022 </w:t>
            </w:r>
          </w:p>
        </w:tc>
        <w:tc>
          <w:tcPr>
            <w:tcW w:type="dxa" w:w="1728"/>
          </w:tcPr>
          <w:p>
            <w:r>
              <w:t xml:space="preserve">8 July 2022 </w:t>
            </w:r>
          </w:p>
        </w:tc>
        <w:tc>
          <w:tcPr>
            <w:tcW w:type="dxa" w:w="1728"/>
          </w:tcPr>
          <w:p>
            <w:r/>
          </w:p>
          <w:p>
            <w:r/>
            <w:r/>
            <w:r>
              <w:t xml:space="preserve">5.6. changed from 'including people' to 'and people'. </w:t>
            </w:r>
            <w:r/>
            <w:r/>
          </w:p>
        </w:tc>
      </w:tr>
      <w:tr>
        <w:tc>
          <w:tcPr>
            <w:tcW w:type="dxa" w:w="1728"/>
          </w:tcPr>
          <w:p>
            <w:r>
              <w:t xml:space="preserve">9 </w:t>
            </w:r>
          </w:p>
        </w:tc>
        <w:tc>
          <w:tcPr>
            <w:tcW w:type="dxa" w:w="1728"/>
          </w:tcPr>
          <w:p>
            <w:r>
              <w:t xml:space="preserve">Council </w:t>
            </w:r>
          </w:p>
        </w:tc>
        <w:tc>
          <w:tcPr>
            <w:tcW w:type="dxa" w:w="1728"/>
          </w:tcPr>
          <w:p>
            <w:r>
              <w:t xml:space="preserve">7 December 2022 </w:t>
            </w:r>
          </w:p>
        </w:tc>
        <w:tc>
          <w:tcPr>
            <w:tcW w:type="dxa" w:w="1728"/>
          </w:tcPr>
          <w:p>
            <w:r>
              <w:t xml:space="preserve">7 December 2022 </w:t>
            </w:r>
          </w:p>
        </w:tc>
        <w:tc>
          <w:tcPr>
            <w:tcW w:type="dxa" w:w="1728"/>
          </w:tcPr>
          <w:p>
            <w:r/>
          </w:p>
          <w:p>
            <w:r/>
            <w:r/>
            <w:r/>
            <w:r/>
            <w:r/>
          </w:p>
          <w:p>
            <w:r/>
            <w:r/>
            <w:r>
              <w:t xml:space="preserve">Revised wording and responsibilities for Business Continuity Program. </w:t>
            </w:r>
            <w:r/>
            <w:r/>
          </w:p>
          <w:p>
            <w:r/>
            <w:r/>
            <w:r>
              <w:t xml:space="preserve">Corrected references from ‘RMAG’ to ‘RMCC’. </w:t>
            </w:r>
            <w:r/>
            <w:r/>
          </w:p>
        </w:tc>
      </w:tr>
      <w:tr>
        <w:tc>
          <w:tcPr>
            <w:tcW w:type="dxa" w:w="1728"/>
          </w:tcPr>
          <w:p>
            <w:r>
              <w:t xml:space="preserve">10 </w:t>
            </w:r>
          </w:p>
        </w:tc>
        <w:tc>
          <w:tcPr>
            <w:tcW w:type="dxa" w:w="1728"/>
          </w:tcPr>
          <w:p>
            <w:r>
              <w:t xml:space="preserve">Policy Officer </w:t>
            </w:r>
          </w:p>
        </w:tc>
        <w:tc>
          <w:tcPr>
            <w:tcW w:type="dxa" w:w="1728"/>
          </w:tcPr>
          <w:p>
            <w:r>
              <w:t xml:space="preserve">7 December 2022 </w:t>
            </w:r>
          </w:p>
        </w:tc>
        <w:tc>
          <w:tcPr>
            <w:tcW w:type="dxa" w:w="1728"/>
          </w:tcPr>
          <w:p>
            <w:r>
              <w:t xml:space="preserve">7 December 2022 </w:t>
            </w:r>
          </w:p>
        </w:tc>
        <w:tc>
          <w:tcPr>
            <w:tcW w:type="dxa" w:w="1728"/>
          </w:tcPr>
          <w:p>
            <w:r/>
          </w:p>
          <w:p>
            <w:r/>
            <w:r/>
            <w:r>
              <w:t xml:space="preserve">Amended formatting to fix metadata error. </w:t>
            </w:r>
            <w:r/>
            <w:r/>
          </w:p>
        </w:tc>
      </w:tr>
      <w:tr>
        <w:tc>
          <w:tcPr>
            <w:tcW w:type="dxa" w:w="1728"/>
          </w:tcPr>
          <w:p>
            <w:r>
              <w:t xml:space="preserve">11 </w:t>
            </w:r>
          </w:p>
        </w:tc>
        <w:tc>
          <w:tcPr>
            <w:tcW w:type="dxa" w:w="1728"/>
          </w:tcPr>
          <w:p>
            <w:r>
              <w:t xml:space="preserve">General Counsel and Executive Director, Legal and Risk </w:t>
            </w:r>
          </w:p>
        </w:tc>
        <w:tc>
          <w:tcPr>
            <w:tcW w:type="dxa" w:w="1728"/>
          </w:tcPr>
          <w:p>
            <w:r>
              <w:t xml:space="preserve">16 October 2024 </w:t>
            </w:r>
          </w:p>
        </w:tc>
        <w:tc>
          <w:tcPr>
            <w:tcW w:type="dxa" w:w="1728"/>
          </w:tcPr>
          <w:p>
            <w:r>
              <w:t xml:space="preserve">16 October 2024 </w:t>
            </w:r>
          </w:p>
        </w:tc>
        <w:tc>
          <w:tcPr>
            <w:tcW w:type="dxa" w:w="1728"/>
          </w:tcPr>
          <w:p>
            <w:r/>
          </w:p>
          <w:p>
            <w:r/>
            <w:r>
              <w:t xml:space="preserve">Minor amendments to existing policy </w:t>
            </w:r>
            <w:r/>
          </w:p>
        </w:tc>
      </w:tr>
    </w:tbl>
    <w:p>
      <w:r/>
    </w:p>
    <w:sectPr w:rsidR="001F69DC">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9E54A" w14:textId="77777777" w:rsidR="008D34DE" w:rsidRDefault="008D34DE">
      <w:r>
        <w:separator/>
      </w:r>
    </w:p>
  </w:endnote>
  <w:endnote w:type="continuationSeparator" w:id="0">
    <w:p w14:paraId="2FEDCF45" w14:textId="77777777" w:rsidR="008D34DE" w:rsidRDefault="008D34DE">
      <w:r>
        <w:continuationSeparator/>
      </w:r>
    </w:p>
  </w:endnote>
  <w:endnote w:type="continuationNotice" w:id="1">
    <w:p w14:paraId="042A7C4A" w14:textId="77777777" w:rsidR="008D34DE" w:rsidRDefault="008D3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0B885" w14:textId="77777777" w:rsidR="00077A32" w:rsidRDefault="00077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FEE0" w14:textId="77777777" w:rsidR="00974657" w:rsidRDefault="00974657">
    <w:pPr>
      <w:jc w:val="right"/>
    </w:pPr>
    <w:r>
      <w:rPr>
        <w:rFonts w:ascii="Arial" w:eastAsia="Arial" w:hAnsi="Arial" w:cs="Arial"/>
        <w:color w:val="000000"/>
        <w:sz w:val="18"/>
      </w:rPr>
      <w:t xml:space="preserve">Page </w:t>
    </w:r>
    <w:r>
      <w:rPr>
        <w:rFonts w:ascii="Arial" w:eastAsia="Arial" w:hAnsi="Arial" w:cs="Arial"/>
        <w:color w:val="000000"/>
        <w:sz w:val="18"/>
      </w:rPr>
      <w:fldChar w:fldCharType="begin"/>
    </w:r>
    <w:r>
      <w:rPr>
        <w:rFonts w:ascii="Arial" w:eastAsia="Arial" w:hAnsi="Arial" w:cs="Arial"/>
        <w:color w:val="000000"/>
        <w:sz w:val="18"/>
      </w:rPr>
      <w:instrText>PAGE</w:instrText>
    </w:r>
    <w:r>
      <w:rPr>
        <w:rFonts w:ascii="Arial" w:eastAsia="Arial" w:hAnsi="Arial" w:cs="Arial"/>
        <w:color w:val="000000"/>
        <w:sz w:val="18"/>
      </w:rPr>
      <w:fldChar w:fldCharType="separate"/>
    </w:r>
    <w:r w:rsidR="00E01B35">
      <w:rPr>
        <w:rFonts w:ascii="Arial" w:eastAsia="Arial" w:hAnsi="Arial" w:cs="Arial"/>
        <w:noProof/>
        <w:color w:val="000000"/>
        <w:sz w:val="18"/>
      </w:rPr>
      <w:t>1</w:t>
    </w:r>
    <w:r>
      <w:rPr>
        <w:rFonts w:ascii="Arial" w:eastAsia="Arial" w:hAnsi="Arial" w:cs="Arial"/>
        <w:color w:val="000000"/>
        <w:sz w:val="18"/>
      </w:rPr>
      <w:fldChar w:fldCharType="end"/>
    </w:r>
    <w:r>
      <w:rPr>
        <w:rFonts w:ascii="Arial" w:eastAsia="Arial" w:hAnsi="Arial" w:cs="Arial"/>
        <w:color w:val="000000"/>
        <w:sz w:val="18"/>
      </w:rPr>
      <w:t xml:space="preserve"> of </w:t>
    </w:r>
    <w:r>
      <w:rPr>
        <w:rFonts w:ascii="Arial" w:eastAsia="Arial" w:hAnsi="Arial" w:cs="Arial"/>
        <w:color w:val="000000"/>
        <w:sz w:val="18"/>
      </w:rPr>
      <w:fldChar w:fldCharType="begin"/>
    </w:r>
    <w:r>
      <w:rPr>
        <w:rFonts w:ascii="Arial" w:eastAsia="Arial" w:hAnsi="Arial" w:cs="Arial"/>
        <w:color w:val="000000"/>
        <w:sz w:val="18"/>
      </w:rPr>
      <w:instrText>NUMPAGES</w:instrText>
    </w:r>
    <w:r>
      <w:rPr>
        <w:rFonts w:ascii="Arial" w:eastAsia="Arial" w:hAnsi="Arial" w:cs="Arial"/>
        <w:color w:val="000000"/>
        <w:sz w:val="18"/>
      </w:rPr>
      <w:fldChar w:fldCharType="separate"/>
    </w:r>
    <w:r w:rsidR="00E01B35">
      <w:rPr>
        <w:rFonts w:ascii="Arial" w:eastAsia="Arial" w:hAnsi="Arial" w:cs="Arial"/>
        <w:noProof/>
        <w:color w:val="000000"/>
        <w:sz w:val="18"/>
      </w:rPr>
      <w:t>2</w:t>
    </w:r>
    <w:r>
      <w:rPr>
        <w:rFonts w:ascii="Arial" w:eastAsia="Arial" w:hAnsi="Arial" w:cs="Arial"/>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29103" w14:textId="77777777" w:rsidR="00077A32" w:rsidRDefault="0007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98EE1" w14:textId="77777777" w:rsidR="008D34DE" w:rsidRDefault="008D34DE">
      <w:r>
        <w:separator/>
      </w:r>
    </w:p>
  </w:footnote>
  <w:footnote w:type="continuationSeparator" w:id="0">
    <w:p w14:paraId="28DE286D" w14:textId="77777777" w:rsidR="008D34DE" w:rsidRDefault="008D34DE">
      <w:r>
        <w:continuationSeparator/>
      </w:r>
    </w:p>
  </w:footnote>
  <w:footnote w:type="continuationNotice" w:id="1">
    <w:p w14:paraId="3A2306D2" w14:textId="77777777" w:rsidR="008D34DE" w:rsidRDefault="008D34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9C645" w14:textId="77777777" w:rsidR="00077A32" w:rsidRDefault="00077A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27A02" w14:textId="77777777" w:rsidR="00077A32" w:rsidRDefault="00077A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CBF31" w14:textId="77777777" w:rsidR="00077A32" w:rsidRDefault="00077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6585"/>
    <w:multiLevelType w:val="hybridMultilevel"/>
    <w:tmpl w:val="BC74450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102F20EC"/>
    <w:multiLevelType w:val="hybridMultilevel"/>
    <w:tmpl w:val="0BCCEE62"/>
    <w:lvl w:ilvl="0" w:tplc="0C090017">
      <w:start w:val="1"/>
      <w:numFmt w:val="lowerLetter"/>
      <w:lvlText w:val="%1)"/>
      <w:lvlJc w:val="left"/>
      <w:pPr>
        <w:ind w:left="502" w:hanging="360"/>
      </w:pPr>
    </w:lvl>
    <w:lvl w:ilvl="1" w:tplc="87427554">
      <w:start w:val="1"/>
      <w:numFmt w:val="lowerRoman"/>
      <w:lvlText w:val="%2."/>
      <w:lvlJc w:val="left"/>
      <w:pPr>
        <w:ind w:left="1582" w:hanging="720"/>
      </w:pPr>
      <w:rPr>
        <w:rFonts w:hint="default"/>
      </w:rPr>
    </w:lvl>
    <w:lvl w:ilvl="2" w:tplc="DBD88A58">
      <w:start w:val="1"/>
      <w:numFmt w:val="lowerLetter"/>
      <w:lvlText w:val="(%3)"/>
      <w:lvlJc w:val="left"/>
      <w:pPr>
        <w:ind w:left="2122" w:hanging="360"/>
      </w:pPr>
      <w:rPr>
        <w:rFonts w:hint="default"/>
      </w:r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1C6E6FD4"/>
    <w:multiLevelType w:val="hybridMultilevel"/>
    <w:tmpl w:val="D8000AB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0E1BFE"/>
    <w:multiLevelType w:val="hybridMultilevel"/>
    <w:tmpl w:val="DF1E27A4"/>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34D407A"/>
    <w:multiLevelType w:val="multilevel"/>
    <w:tmpl w:val="9982A208"/>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720" w:firstLine="0"/>
      </w:pPr>
    </w:lvl>
    <w:lvl w:ilvl="3">
      <w:start w:val="1"/>
      <w:numFmt w:val="lowerRoman"/>
      <w:pStyle w:val="MPLParagraphlevel3"/>
      <w:suff w:val="space"/>
      <w:lvlText w:val="%4."/>
      <w:lvlJc w:val="left"/>
      <w:pPr>
        <w:ind w:left="1077" w:firstLine="3"/>
      </w:p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86B1506"/>
    <w:multiLevelType w:val="hybridMultilevel"/>
    <w:tmpl w:val="D9FC1A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72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B4578E"/>
    <w:multiLevelType w:val="hybridMultilevel"/>
    <w:tmpl w:val="89C494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72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131473"/>
    <w:multiLevelType w:val="hybridMultilevel"/>
    <w:tmpl w:val="F0849E42"/>
    <w:lvl w:ilvl="0" w:tplc="49661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1C0792"/>
    <w:multiLevelType w:val="hybridMultilevel"/>
    <w:tmpl w:val="9D9E47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72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F65A16"/>
    <w:multiLevelType w:val="hybridMultilevel"/>
    <w:tmpl w:val="683E7596"/>
    <w:lvl w:ilvl="0" w:tplc="53B260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960293"/>
    <w:multiLevelType w:val="hybridMultilevel"/>
    <w:tmpl w:val="648251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F827FE"/>
    <w:multiLevelType w:val="hybridMultilevel"/>
    <w:tmpl w:val="938246B6"/>
    <w:lvl w:ilvl="0" w:tplc="03985C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B61867"/>
    <w:multiLevelType w:val="hybridMultilevel"/>
    <w:tmpl w:val="D220AE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72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1BD33AE"/>
    <w:multiLevelType w:val="hybridMultilevel"/>
    <w:tmpl w:val="73B20B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7">
      <w:start w:val="1"/>
      <w:numFmt w:val="lowerLetter"/>
      <w:lvlText w:val="%3)"/>
      <w:lvlJc w:val="left"/>
      <w:pPr>
        <w:ind w:left="72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600224">
    <w:abstractNumId w:val="3"/>
  </w:num>
  <w:num w:numId="2" w16cid:durableId="1683313682">
    <w:abstractNumId w:val="11"/>
  </w:num>
  <w:num w:numId="3" w16cid:durableId="1821923965">
    <w:abstractNumId w:val="1"/>
  </w:num>
  <w:num w:numId="4" w16cid:durableId="928926522">
    <w:abstractNumId w:val="9"/>
  </w:num>
  <w:num w:numId="5" w16cid:durableId="968516064">
    <w:abstractNumId w:val="2"/>
  </w:num>
  <w:num w:numId="6" w16cid:durableId="265894985">
    <w:abstractNumId w:val="0"/>
  </w:num>
  <w:num w:numId="7" w16cid:durableId="36129253">
    <w:abstractNumId w:val="10"/>
  </w:num>
  <w:num w:numId="8" w16cid:durableId="555356853">
    <w:abstractNumId w:val="7"/>
  </w:num>
  <w:num w:numId="9" w16cid:durableId="1542864319">
    <w:abstractNumId w:val="12"/>
  </w:num>
  <w:num w:numId="10" w16cid:durableId="224412596">
    <w:abstractNumId w:val="8"/>
  </w:num>
  <w:num w:numId="11" w16cid:durableId="380517636">
    <w:abstractNumId w:val="13"/>
  </w:num>
  <w:num w:numId="12" w16cid:durableId="27414505">
    <w:abstractNumId w:val="5"/>
  </w:num>
  <w:num w:numId="13" w16cid:durableId="1589534019">
    <w:abstractNumId w:val="6"/>
  </w:num>
  <w:num w:numId="14" w16cid:durableId="1432973998">
    <w:abstractNumId w:val="4"/>
  </w:num>
  <w:num w:numId="15" w16cid:durableId="996686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0FFD"/>
    <w:rsid w:val="00012089"/>
    <w:rsid w:val="00037D9F"/>
    <w:rsid w:val="00047A36"/>
    <w:rsid w:val="00063FFA"/>
    <w:rsid w:val="00077A32"/>
    <w:rsid w:val="00092694"/>
    <w:rsid w:val="000B7878"/>
    <w:rsid w:val="000C3030"/>
    <w:rsid w:val="000F7F1C"/>
    <w:rsid w:val="00112FDC"/>
    <w:rsid w:val="00133F03"/>
    <w:rsid w:val="00134D1B"/>
    <w:rsid w:val="00140FF7"/>
    <w:rsid w:val="00153D67"/>
    <w:rsid w:val="00160633"/>
    <w:rsid w:val="00166A80"/>
    <w:rsid w:val="00166CA6"/>
    <w:rsid w:val="00193C8D"/>
    <w:rsid w:val="00193EBE"/>
    <w:rsid w:val="001B09EF"/>
    <w:rsid w:val="001C3B41"/>
    <w:rsid w:val="001D2FB9"/>
    <w:rsid w:val="001F0302"/>
    <w:rsid w:val="001F4EE7"/>
    <w:rsid w:val="001F69DC"/>
    <w:rsid w:val="00200DCC"/>
    <w:rsid w:val="00241B15"/>
    <w:rsid w:val="0027667B"/>
    <w:rsid w:val="0029761A"/>
    <w:rsid w:val="002B4AD8"/>
    <w:rsid w:val="002C2C0D"/>
    <w:rsid w:val="002D4045"/>
    <w:rsid w:val="002E0485"/>
    <w:rsid w:val="002E0EA3"/>
    <w:rsid w:val="002E6191"/>
    <w:rsid w:val="002F4672"/>
    <w:rsid w:val="002F7642"/>
    <w:rsid w:val="003350DD"/>
    <w:rsid w:val="003369A1"/>
    <w:rsid w:val="003453B8"/>
    <w:rsid w:val="003542FC"/>
    <w:rsid w:val="003659D2"/>
    <w:rsid w:val="003802F7"/>
    <w:rsid w:val="003871F7"/>
    <w:rsid w:val="003E2333"/>
    <w:rsid w:val="004042D3"/>
    <w:rsid w:val="004042FF"/>
    <w:rsid w:val="00424640"/>
    <w:rsid w:val="0042464E"/>
    <w:rsid w:val="00424E44"/>
    <w:rsid w:val="00426EC7"/>
    <w:rsid w:val="00436461"/>
    <w:rsid w:val="00447D00"/>
    <w:rsid w:val="00454A18"/>
    <w:rsid w:val="00491181"/>
    <w:rsid w:val="004E5A11"/>
    <w:rsid w:val="004F3445"/>
    <w:rsid w:val="004F5300"/>
    <w:rsid w:val="00500B57"/>
    <w:rsid w:val="00502A13"/>
    <w:rsid w:val="00510AF9"/>
    <w:rsid w:val="00531964"/>
    <w:rsid w:val="005402F3"/>
    <w:rsid w:val="005670EB"/>
    <w:rsid w:val="0057473B"/>
    <w:rsid w:val="005921E7"/>
    <w:rsid w:val="005A4A8D"/>
    <w:rsid w:val="006572F7"/>
    <w:rsid w:val="00662D96"/>
    <w:rsid w:val="00677156"/>
    <w:rsid w:val="00690E05"/>
    <w:rsid w:val="006B4257"/>
    <w:rsid w:val="006C22C0"/>
    <w:rsid w:val="006C74D9"/>
    <w:rsid w:val="006D5C19"/>
    <w:rsid w:val="006E2082"/>
    <w:rsid w:val="00713F36"/>
    <w:rsid w:val="00742ED5"/>
    <w:rsid w:val="00747F8A"/>
    <w:rsid w:val="00750C68"/>
    <w:rsid w:val="00762EB8"/>
    <w:rsid w:val="00773C7C"/>
    <w:rsid w:val="00790287"/>
    <w:rsid w:val="007913FA"/>
    <w:rsid w:val="007B0BB8"/>
    <w:rsid w:val="007B3929"/>
    <w:rsid w:val="007C0839"/>
    <w:rsid w:val="007C60BE"/>
    <w:rsid w:val="007D1858"/>
    <w:rsid w:val="007E19B6"/>
    <w:rsid w:val="007E7208"/>
    <w:rsid w:val="00845FEF"/>
    <w:rsid w:val="00895F94"/>
    <w:rsid w:val="008D34DE"/>
    <w:rsid w:val="008E001A"/>
    <w:rsid w:val="008F5BAE"/>
    <w:rsid w:val="008F7088"/>
    <w:rsid w:val="00927CDD"/>
    <w:rsid w:val="0094419C"/>
    <w:rsid w:val="009566EF"/>
    <w:rsid w:val="00974657"/>
    <w:rsid w:val="009777DA"/>
    <w:rsid w:val="009860CA"/>
    <w:rsid w:val="009939A1"/>
    <w:rsid w:val="009A0B86"/>
    <w:rsid w:val="009A3467"/>
    <w:rsid w:val="009A6851"/>
    <w:rsid w:val="009A7B34"/>
    <w:rsid w:val="009B61E9"/>
    <w:rsid w:val="009C53EB"/>
    <w:rsid w:val="009C675F"/>
    <w:rsid w:val="009D7F9A"/>
    <w:rsid w:val="009F0AE2"/>
    <w:rsid w:val="009F10B2"/>
    <w:rsid w:val="00A05A12"/>
    <w:rsid w:val="00A40CFD"/>
    <w:rsid w:val="00A77B3E"/>
    <w:rsid w:val="00A907C5"/>
    <w:rsid w:val="00AA4CA4"/>
    <w:rsid w:val="00AC2EA6"/>
    <w:rsid w:val="00AC3F3A"/>
    <w:rsid w:val="00AC4782"/>
    <w:rsid w:val="00AC7479"/>
    <w:rsid w:val="00B02F2F"/>
    <w:rsid w:val="00B14EF0"/>
    <w:rsid w:val="00B34EBE"/>
    <w:rsid w:val="00B842CA"/>
    <w:rsid w:val="00BA79EE"/>
    <w:rsid w:val="00BC1781"/>
    <w:rsid w:val="00BD068A"/>
    <w:rsid w:val="00C0296E"/>
    <w:rsid w:val="00C04740"/>
    <w:rsid w:val="00C152B2"/>
    <w:rsid w:val="00C22D71"/>
    <w:rsid w:val="00C248B2"/>
    <w:rsid w:val="00C654E6"/>
    <w:rsid w:val="00C67476"/>
    <w:rsid w:val="00C75307"/>
    <w:rsid w:val="00C862C3"/>
    <w:rsid w:val="00CD03BC"/>
    <w:rsid w:val="00CD0A55"/>
    <w:rsid w:val="00CD0D89"/>
    <w:rsid w:val="00CE7F36"/>
    <w:rsid w:val="00CF2DB7"/>
    <w:rsid w:val="00D11A39"/>
    <w:rsid w:val="00D263A7"/>
    <w:rsid w:val="00D42DCB"/>
    <w:rsid w:val="00D64A7D"/>
    <w:rsid w:val="00D933BD"/>
    <w:rsid w:val="00DA237E"/>
    <w:rsid w:val="00DB2932"/>
    <w:rsid w:val="00DB4DD2"/>
    <w:rsid w:val="00DC2C08"/>
    <w:rsid w:val="00DC5C2F"/>
    <w:rsid w:val="00E01B35"/>
    <w:rsid w:val="00E10176"/>
    <w:rsid w:val="00E1486E"/>
    <w:rsid w:val="00E246B3"/>
    <w:rsid w:val="00E42E9A"/>
    <w:rsid w:val="00E462E5"/>
    <w:rsid w:val="00E65954"/>
    <w:rsid w:val="00EB72BE"/>
    <w:rsid w:val="00EC046F"/>
    <w:rsid w:val="00EF2124"/>
    <w:rsid w:val="00EF7F4D"/>
    <w:rsid w:val="00F13A2D"/>
    <w:rsid w:val="00F15A74"/>
    <w:rsid w:val="00F1791A"/>
    <w:rsid w:val="00F257F8"/>
    <w:rsid w:val="00F3517E"/>
    <w:rsid w:val="00F35C8F"/>
    <w:rsid w:val="00F67677"/>
    <w:rsid w:val="00F67786"/>
    <w:rsid w:val="00F8428D"/>
    <w:rsid w:val="00FA0F72"/>
    <w:rsid w:val="00FA109F"/>
    <w:rsid w:val="00FA17DE"/>
    <w:rsid w:val="00FE0A7F"/>
    <w:rsid w:val="00FE36EA"/>
    <w:rsid w:val="00FE67BB"/>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72FA9C"/>
  <w15:chartTrackingRefBased/>
  <w15:docId w15:val="{91EC4B02-CFB1-4A7B-AECB-CA51858A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ource Sans Pro" w:hAnsi="Source Sans Pro"/>
      <w:sz w:val="20"/>
      <w:szCs w:val="24"/>
    </w:rPr>
  </w:style>
  <w:style w:type="paragraph" w:styleId="Heading1">
    <w:name w:val="heading 1"/>
    <w:link w:val="Heading1Char"/>
    <w:pPr>
      <w:spacing w:after="240"/>
      <w:outlineLvl w:val="0"/>
    </w:pPr>
    <w:rPr>
      <w:rFonts w:ascii="Arial" w:eastAsia="Arial" w:hAnsi="Arial" w:cs="Arial" w:asciiTheme="Source Sans Pro"/>
      <w:b/>
      <w:color w:val="000F46"/>
      <w:sz w:val="32"/>
    </w:rPr>
  </w:style>
  <w:style w:type="paragraph" w:styleId="Heading2">
    <w:name w:val="heading 2"/>
    <w:link w:val="Heading2Char"/>
    <w:pPr>
      <w:spacing w:after="160"/>
      <w:outlineLvl w:val="1"/>
    </w:pPr>
    <w:rPr>
      <w:rFonts w:ascii="Arial" w:eastAsia="Arial" w:hAnsi="Arial" w:cs="Arial" w:asciiTheme="Source Sans Pro"/>
      <w:b/>
      <w:color w:val="000F46"/>
      <w:sz w:val="28"/>
    </w:rPr>
  </w:style>
  <w:style w:type="paragraph" w:styleId="Heading3">
    <w:name w:val="heading 3"/>
    <w:link w:val="Heading3Char"/>
    <w:pPr>
      <w:spacing w:after="160"/>
      <w:outlineLvl w:val="2"/>
    </w:pPr>
    <w:rPr>
      <w:rFonts w:ascii="Arial" w:eastAsia="Arial" w:hAnsi="Arial" w:cs="Arial" w:asciiTheme="Source Sans Pro"/>
      <w:b/>
      <w:color w:val="000F46"/>
      <w:sz w:val="24"/>
    </w:rPr>
  </w:style>
  <w:style w:type="paragraph" w:styleId="Heading4">
    <w:name w:val="heading 4"/>
    <w:pPr>
      <w:spacing w:after="60"/>
      <w:outlineLvl w:val="3"/>
    </w:pPr>
    <w:rPr>
      <w:rFonts w:ascii="Arial" w:eastAsia="Arial" w:hAnsi="Arial" w:cs="Arial" w:asciiTheme="Source Sans Pro"/>
      <w:b/>
      <w:color w:val="000F4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1B35"/>
    <w:rPr>
      <w:sz w:val="24"/>
      <w:szCs w:val="24"/>
    </w:rPr>
  </w:style>
  <w:style w:type="character" w:styleId="CommentReference">
    <w:name w:val="annotation reference"/>
    <w:rsid w:val="00E01B35"/>
    <w:rPr>
      <w:sz w:val="16"/>
      <w:szCs w:val="16"/>
    </w:rPr>
  </w:style>
  <w:style w:type="paragraph" w:styleId="CommentText">
    <w:name w:val="annotation text"/>
    <w:basedOn w:val="Normal"/>
    <w:link w:val="CommentTextChar"/>
    <w:rsid w:val="00E01B35"/>
    <w:rPr>
      <w:szCs w:val="20"/>
    </w:rPr>
  </w:style>
  <w:style w:type="character" w:customStyle="1" w:styleId="CommentTextChar">
    <w:name w:val="Comment Text Char"/>
    <w:basedOn w:val="DefaultParagraphFont"/>
    <w:link w:val="CommentText"/>
    <w:rsid w:val="00E01B35"/>
  </w:style>
  <w:style w:type="paragraph" w:styleId="CommentSubject">
    <w:name w:val="annotation subject"/>
    <w:basedOn w:val="CommentText"/>
    <w:next w:val="CommentText"/>
    <w:link w:val="CommentSubjectChar"/>
    <w:rsid w:val="00E01B35"/>
    <w:rPr>
      <w:b/>
      <w:bCs/>
    </w:rPr>
  </w:style>
  <w:style w:type="character" w:customStyle="1" w:styleId="CommentSubjectChar">
    <w:name w:val="Comment Subject Char"/>
    <w:link w:val="CommentSubject"/>
    <w:rsid w:val="00E01B35"/>
    <w:rPr>
      <w:b/>
      <w:bCs/>
    </w:rPr>
  </w:style>
  <w:style w:type="character" w:customStyle="1" w:styleId="Heading1Char">
    <w:name w:val="Heading 1 Char"/>
    <w:basedOn w:val="DefaultParagraphFont"/>
    <w:link w:val="Heading1"/>
    <w:uiPriority w:val="9"/>
    <w:rsid w:val="001F69DC"/>
    <w:rPr>
      <w:rFonts w:ascii="Arial" w:eastAsia="MS Gothic" w:hAnsi="Calibri"/>
      <w:b/>
      <w:bCs/>
      <w:color w:val="365F91"/>
      <w:sz w:val="32"/>
      <w:szCs w:val="28"/>
      <w:lang w:val="en-US" w:eastAsia="en-US"/>
    </w:rPr>
  </w:style>
  <w:style w:type="table" w:styleId="TableGrid">
    <w:name w:val="Table Grid"/>
    <w:basedOn w:val="TableNormal"/>
    <w:uiPriority w:val="59"/>
    <w:rsid w:val="001F69DC"/>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MPL - Hyperlink"/>
    <w:uiPriority w:val="99"/>
    <w:unhideWhenUsed/>
    <w:qFormat/>
    <w:rsid w:val="001F69DC"/>
    <w:rPr>
      <w:color w:val="0000FF"/>
      <w:u w:val="single"/>
    </w:rPr>
  </w:style>
  <w:style w:type="paragraph" w:customStyle="1" w:styleId="MPLParagraphlevel1">
    <w:name w:val="MPL Paragraph level 1"/>
    <w:basedOn w:val="ListParagraph"/>
    <w:qFormat/>
    <w:rsid w:val="00747F8A"/>
    <w:pPr>
      <w:numPr>
        <w:ilvl w:val="1"/>
        <w:numId w:val="14"/>
      </w:numPr>
      <w:spacing w:afterLines="50" w:after="120" w:line="276" w:lineRule="auto"/>
    </w:pPr>
    <w:rPr>
      <w:rFonts w:eastAsia="MS Mincho" w:cs="Arial" w:asciiTheme="Source Sans Pro"/>
      <w:sz w:val="20"/>
      <w:szCs w:val="22"/>
      <w:lang w:val="en-US" w:eastAsia="en-US"/>
    </w:rPr>
  </w:style>
  <w:style w:type="paragraph" w:customStyle="1" w:styleId="MPLHeading1">
    <w:name w:val="MPL Heading 1"/>
    <w:basedOn w:val="Heading2"/>
    <w:qFormat/>
    <w:rsid w:val="00747F8A"/>
    <w:pPr>
      <w:keepLines/>
      <w:numPr>
        <w:numId w:val="14"/>
      </w:numPr>
      <w:spacing w:before="200" w:afterLines="50" w:after="120" w:line="276" w:lineRule="auto"/>
    </w:pPr>
    <w:rPr>
      <w:rFonts w:ascii="Source Sans Pro" w:hAnsi="Source Sans Pro" w:asciiTheme="Source Sans Pro"/>
      <w:color w:val="000F46"/>
      <w:sz w:val="32"/>
      <w:szCs w:val="26"/>
      <w:lang w:val="en-US" w:eastAsia="en-US"/>
    </w:rPr>
  </w:style>
  <w:style w:type="paragraph" w:customStyle="1" w:styleId="MPLParagraphlevel2">
    <w:name w:val="MPL Paragraph level 2"/>
    <w:basedOn w:val="ListParagraph"/>
    <w:qFormat/>
    <w:rsid w:val="00747F8A"/>
    <w:pPr>
      <w:numPr>
        <w:ilvl w:val="2"/>
        <w:numId w:val="14"/>
      </w:numPr>
      <w:spacing w:after="200" w:line="276" w:lineRule="auto"/>
      <w:contextualSpacing/>
    </w:pPr>
    <w:rPr>
      <w:rFonts w:eastAsia="MS Mincho" w:cs="Arial" w:asciiTheme="Source Sans Pro"/>
      <w:sz w:val="20"/>
      <w:szCs w:val="22"/>
      <w:lang w:val="en-US" w:eastAsia="en-US"/>
    </w:rPr>
  </w:style>
  <w:style w:type="paragraph" w:customStyle="1" w:styleId="MPLParagraphlevel3">
    <w:name w:val="MPL Paragraph level 3"/>
    <w:basedOn w:val="ListParagraph"/>
    <w:qFormat/>
    <w:rsid w:val="00747F8A"/>
    <w:pPr>
      <w:numPr>
        <w:ilvl w:val="3"/>
        <w:numId w:val="14"/>
      </w:numPr>
      <w:spacing w:before="120" w:after="120" w:line="276" w:lineRule="auto"/>
      <w:ind w:firstLine="6"/>
      <w:contextualSpacing/>
    </w:pPr>
    <w:rPr>
      <w:rFonts w:eastAsia="MS Mincho" w:cs="Arial" w:asciiTheme="Source Sans Pro"/>
      <w:sz w:val="20"/>
      <w:szCs w:val="22"/>
      <w:lang w:val="en-US" w:eastAsia="en-US"/>
    </w:rPr>
  </w:style>
  <w:style w:type="paragraph" w:customStyle="1" w:styleId="MPLParagraphlevel4">
    <w:name w:val="MPL Paragraph level 4"/>
    <w:basedOn w:val="ListParagraph"/>
    <w:qFormat/>
    <w:rsid w:val="00747F8A"/>
    <w:pPr>
      <w:numPr>
        <w:ilvl w:val="4"/>
        <w:numId w:val="14"/>
      </w:numPr>
      <w:spacing w:afterLines="50" w:after="120" w:line="276" w:lineRule="auto"/>
      <w:contextualSpacing/>
    </w:pPr>
    <w:rPr>
      <w:rFonts w:eastAsia="MS Mincho" w:cs="Arial" w:asciiTheme="Source Sans Pro"/>
      <w:sz w:val="20"/>
      <w:szCs w:val="22"/>
      <w:lang w:val="en-US" w:eastAsia="en-US"/>
    </w:rPr>
  </w:style>
  <w:style w:type="paragraph" w:customStyle="1" w:styleId="MPFSubheading">
    <w:name w:val="MPF Subheading"/>
    <w:basedOn w:val="Heading3"/>
    <w:qFormat/>
    <w:rsid w:val="001F69DC"/>
    <w:pPr>
      <w:keepLines/>
      <w:spacing w:before="200" w:afterLines="50" w:after="120" w:line="276" w:lineRule="auto"/>
    </w:pPr>
    <w:rPr>
      <w:rFonts w:ascii="Source Sans Pro" w:hAnsi="Source Sans Pro" w:asciiTheme="Source Sans Pro"/>
      <w:color w:val="000F46"/>
      <w:sz w:val="28"/>
      <w:szCs w:val="22"/>
      <w:lang w:val="en-US" w:eastAsia="en-US"/>
    </w:rPr>
  </w:style>
  <w:style w:type="paragraph" w:customStyle="1" w:styleId="MPLParapgrah">
    <w:name w:val="MPL Parapgrah"/>
    <w:basedOn w:val="Normal"/>
    <w:qFormat/>
    <w:rsid w:val="001F69DC"/>
    <w:pPr>
      <w:spacing w:after="200" w:line="276" w:lineRule="auto"/>
    </w:pPr>
    <w:rPr>
      <w:rFonts w:eastAsia="MS Mincho" w:cs="Arial"/>
      <w:szCs w:val="22"/>
      <w:lang w:eastAsia="en-US"/>
    </w:rPr>
  </w:style>
  <w:style w:type="paragraph" w:customStyle="1" w:styleId="MPLNoNumberingHeadings">
    <w:name w:val="MPL No Numbering Headings"/>
    <w:basedOn w:val="Heading2"/>
    <w:qFormat/>
    <w:rsid w:val="001F69DC"/>
    <w:pPr>
      <w:keepLines/>
      <w:spacing w:before="200" w:after="0" w:line="276" w:lineRule="auto"/>
    </w:pPr>
    <w:rPr>
      <w:rFonts w:ascii="Source Sans Pro" w:hAnsi="Source Sans Pro" w:asciiTheme="Source Sans Pro"/>
      <w:color w:val="000F46"/>
      <w:sz w:val="32"/>
      <w:szCs w:val="26"/>
      <w:lang w:val="en-US" w:eastAsia="en-US"/>
    </w:rPr>
  </w:style>
  <w:style w:type="paragraph" w:styleId="ListParagraph">
    <w:name w:val="List Paragraph"/>
    <w:basedOn w:val="Normal"/>
    <w:uiPriority w:val="34"/>
    <w:qFormat/>
    <w:rsid w:val="001F69DC"/>
    <w:pPr>
      <w:ind w:left="720"/>
    </w:pPr>
  </w:style>
  <w:style w:type="character" w:customStyle="1" w:styleId="Heading2Char">
    <w:name w:val="Heading 2 Char"/>
    <w:basedOn w:val="DefaultParagraphFont"/>
    <w:link w:val="Heading2"/>
    <w:semiHidden/>
    <w:rsid w:val="001F69D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1F69DC"/>
    <w:rPr>
      <w:rFonts w:asciiTheme="majorHAnsi" w:eastAsiaTheme="majorEastAsia" w:hAnsiTheme="majorHAnsi" w:cstheme="majorBidi"/>
      <w:b/>
      <w:bCs/>
      <w:sz w:val="26"/>
      <w:szCs w:val="26"/>
    </w:rPr>
  </w:style>
  <w:style w:type="paragraph" w:styleId="Header">
    <w:name w:val="header"/>
    <w:basedOn w:val="Normal"/>
    <w:link w:val="HeaderChar"/>
    <w:rsid w:val="00077A32"/>
    <w:pPr>
      <w:tabs>
        <w:tab w:val="center" w:pos="4513"/>
        <w:tab w:val="right" w:pos="9026"/>
      </w:tabs>
    </w:pPr>
  </w:style>
  <w:style w:type="character" w:customStyle="1" w:styleId="HeaderChar">
    <w:name w:val="Header Char"/>
    <w:basedOn w:val="DefaultParagraphFont"/>
    <w:link w:val="Header"/>
    <w:rsid w:val="00077A32"/>
    <w:rPr>
      <w:sz w:val="24"/>
      <w:szCs w:val="24"/>
    </w:rPr>
  </w:style>
  <w:style w:type="paragraph" w:styleId="Footer">
    <w:name w:val="footer"/>
    <w:basedOn w:val="Normal"/>
    <w:link w:val="FooterChar"/>
    <w:rsid w:val="00077A32"/>
    <w:pPr>
      <w:tabs>
        <w:tab w:val="center" w:pos="4513"/>
        <w:tab w:val="right" w:pos="9026"/>
      </w:tabs>
    </w:pPr>
  </w:style>
  <w:style w:type="character" w:customStyle="1" w:styleId="FooterChar">
    <w:name w:val="Footer Char"/>
    <w:basedOn w:val="DefaultParagraphFont"/>
    <w:link w:val="Footer"/>
    <w:rsid w:val="00077A32"/>
    <w:rPr>
      <w:sz w:val="24"/>
      <w:szCs w:val="24"/>
    </w:rPr>
  </w:style>
  <w:style w:type="character" w:styleId="UnresolvedMention">
    <w:name w:val="Unresolved Mention"/>
    <w:basedOn w:val="DefaultParagraphFont"/>
    <w:uiPriority w:val="99"/>
    <w:semiHidden/>
    <w:unhideWhenUsed/>
    <w:rsid w:val="00D42DCB"/>
    <w:rPr>
      <w:color w:val="605E5C"/>
      <w:shd w:val="clear" w:color="auto" w:fill="E1DFDD"/>
    </w:rPr>
  </w:style>
  <w:style w:type="character" w:styleId="FollowedHyperlink">
    <w:name w:val="FollowedHyperlink"/>
    <w:basedOn w:val="DefaultParagraphFont"/>
    <w:rsid w:val="009A0B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099639">
      <w:bodyDiv w:val="1"/>
      <w:marLeft w:val="0"/>
      <w:marRight w:val="0"/>
      <w:marTop w:val="0"/>
      <w:marBottom w:val="0"/>
      <w:divBdr>
        <w:top w:val="none" w:sz="0" w:space="0" w:color="auto"/>
        <w:left w:val="none" w:sz="0" w:space="0" w:color="auto"/>
        <w:bottom w:val="none" w:sz="0" w:space="0" w:color="auto"/>
        <w:right w:val="none" w:sz="0" w:space="0" w:color="auto"/>
      </w:divBdr>
    </w:div>
    <w:div w:id="913854337">
      <w:bodyDiv w:val="1"/>
      <w:marLeft w:val="0"/>
      <w:marRight w:val="0"/>
      <w:marTop w:val="0"/>
      <w:marBottom w:val="0"/>
      <w:divBdr>
        <w:top w:val="none" w:sz="0" w:space="0" w:color="auto"/>
        <w:left w:val="none" w:sz="0" w:space="0" w:color="auto"/>
        <w:bottom w:val="none" w:sz="0" w:space="0" w:color="auto"/>
        <w:right w:val="none" w:sz="0" w:space="0" w:color="auto"/>
      </w:divBdr>
    </w:div>
    <w:div w:id="1144158483">
      <w:bodyDiv w:val="1"/>
      <w:marLeft w:val="0"/>
      <w:marRight w:val="0"/>
      <w:marTop w:val="0"/>
      <w:marBottom w:val="0"/>
      <w:divBdr>
        <w:top w:val="none" w:sz="0" w:space="0" w:color="auto"/>
        <w:left w:val="none" w:sz="0" w:space="0" w:color="auto"/>
        <w:bottom w:val="none" w:sz="0" w:space="0" w:color="auto"/>
        <w:right w:val="none" w:sz="0" w:space="0" w:color="auto"/>
      </w:divBdr>
    </w:div>
    <w:div w:id="1423795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melb.service-now.com/sp?id=kb_article&amp;sys_id=b13d2f6e872b19d0926543770cbb354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imelb.edu.au/governance/statut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gislation.vic.gov.au/domino/web_notes/ldms/pubstatbook.nsf/edfb620cf7503d1aca256da4001b08af/489fcdb5278f3602ca25767f00102b11/$file/09-078a.pdf"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about.unimelb.edu.au/strategy/governance/regulatory-framework" TargetMode="External"/><Relationship Id="rId22" Type="http://schemas.openxmlformats.org/officeDocument/2006/relationships/header" Target="header3.xml"/><Relationship Id="rId26" Type="http://schemas.openxmlformats.org/officeDocument/2006/relationships/hyperlink" Target="https://policy.unimelb.edu.au/category/Governance and Management/" TargetMode="External"/><Relationship Id="rId27" Type="http://schemas.openxmlformats.org/officeDocument/2006/relationships/hyperlink" Target="https://au.promapp.com/unimelb/Process/Group/bb71f4d6-cfdb-464b-9661-1a6a909872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oM ROManaged" ma:contentTypeID="0x0101009539F0BE8B7294468FFF5888026FCF3200915CF22B44A46341B480E33AB445209A00600A34ACE686744FA1DAAC21253E063E" ma:contentTypeVersion="54" ma:contentTypeDescription="" ma:contentTypeScope="" ma:versionID="92a7b350920436c4fe1fca625e8d0687">
  <xsd:schema xmlns:xsd="http://www.w3.org/2001/XMLSchema" xmlns:xs="http://www.w3.org/2001/XMLSchema" xmlns:p="http://schemas.microsoft.com/office/2006/metadata/properties" xmlns:ns2="f07d8113-1d44-46cb-baa5-a742d0650dfc" xmlns:ns3="43e8a34e-4404-4c21-b47d-9ee9da1d1a36" xmlns:ns4="94ba31b5-b919-47c5-8ee7-969a08152ff0" targetNamespace="http://schemas.microsoft.com/office/2006/metadata/properties" ma:root="true" ma:fieldsID="1f4e4119d9f5ee461c16fba3cf79598d" ns2:_="" ns3:_="" ns4:_="">
    <xsd:import namespace="f07d8113-1d44-46cb-baa5-a742d0650dfc"/>
    <xsd:import namespace="43e8a34e-4404-4c21-b47d-9ee9da1d1a36"/>
    <xsd:import namespace="94ba31b5-b919-47c5-8ee7-969a08152ff0"/>
    <xsd:element name="properties">
      <xsd:complexType>
        <xsd:sequence>
          <xsd:element name="documentManagement">
            <xsd:complexType>
              <xsd:all>
                <xsd:element ref="ns2:Record_x0020_Number" minOccurs="0"/>
                <xsd:element ref="ns3:Legislation" minOccurs="0"/>
                <xsd:element ref="ns3:MediaServiceMetadata" minOccurs="0"/>
                <xsd:element ref="ns3:MediaServiceFastMetadata" minOccurs="0"/>
                <xsd:element ref="ns4:SharedWithUsers" minOccurs="0"/>
                <xsd:element ref="ns4:SharedWithDetails" minOccurs="0"/>
                <xsd:element ref="ns3:Status" minOccurs="0"/>
                <xsd:element ref="ns3:Notes0" minOccurs="0"/>
                <xsd:element ref="ns3:MediaServiceAutoKeyPoints" minOccurs="0"/>
                <xsd:element ref="ns3:MediaServiceKeyPoints" minOccurs="0"/>
                <xsd:element ref="ns3:MediaServiceDateTaken" minOccurs="0"/>
                <xsd:element ref="ns3:Archived_x003f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Record_x0020_Number" ma:index="8" nillable="true" ma:displayName="Record Number" ma:hidden="true" ma:internalName="Record_x0020_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8a34e-4404-4c21-b47d-9ee9da1d1a36" elementFormDefault="qualified">
    <xsd:import namespace="http://schemas.microsoft.com/office/2006/documentManagement/types"/>
    <xsd:import namespace="http://schemas.microsoft.com/office/infopath/2007/PartnerControls"/>
    <xsd:element name="Legislation" ma:index="9" nillable="true" ma:displayName="Legislation/Obligation" ma:format="Dropdown" ma:internalName="Legislation">
      <xsd:simpleType>
        <xsd:restriction base="dms:Choice">
          <xsd:enumeration value="Aboriginal Heritage Amendment Act 2016"/>
          <xsd:enumeration value="ACNC External Conduct Standards"/>
          <xsd:enumeration value="Anti-Bribery and Corruption"/>
          <xsd:enumeration value="Autonomous Sanctions Act 2011 (Cth)"/>
          <xsd:enumeration value="Building Act 1993 (Vic)"/>
          <xsd:enumeration value="Child Safe Standards"/>
          <xsd:enumeration value="Competition and Consumer Act 2010 (Cth)"/>
          <xsd:enumeration value="Defence Trade Controls 2012 (Cth)"/>
          <xsd:enumeration value="Director ID"/>
          <xsd:enumeration value="DFAT PSEAH Policy"/>
          <xsd:enumeration value="Education Services for Overseas Students Act 2000 (Cth)"/>
          <xsd:enumeration value="Environment Protection Amendment Act 2018 (Vic)"/>
          <xsd:enumeration value="Fair Jobs Code Vic"/>
          <xsd:enumeration value="Foreign Influence Transparency Scheme Act 2018 (Cth)"/>
          <xsd:enumeration value="Freedom of Information 1982 (Vic)"/>
          <xsd:enumeration value="Gender Equality Act 2020 (Vic)"/>
          <xsd:enumeration value="Labour Hire Licensing Act 2018 (Vic)"/>
          <xsd:enumeration value="Land Tax Act 2005 (Vic)"/>
          <xsd:enumeration value="Local Jobs First 2003 (Vic)"/>
          <xsd:enumeration value="Modern Slavery Act 2018 (Cth)"/>
          <xsd:enumeration value="Privacy and Data Protection Act 2014 (Vic)"/>
          <xsd:enumeration value="Public Interest Disclosure Act 2012 (Vic) (Whistleblower Protection Regime)"/>
          <xsd:enumeration value="Spam Act"/>
          <xsd:enumeration value="TEQSA/Higher Education Thresholds Standards"/>
          <xsd:enumeration value="UFIT Guidelines (Foreign Interference Taskforce Guidelines)"/>
          <xsd:enumeration value="No legislation"/>
          <xsd:enumeration value="Integrity Framework"/>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 ma:index="14" nillable="true" ma:displayName="Status" ma:format="Dropdown" ma:internalName="Status">
      <xsd:simpleType>
        <xsd:restriction base="dms:Choice">
          <xsd:enumeration value="Emerging"/>
          <xsd:enumeration value="New"/>
          <xsd:enumeration value="Existing"/>
        </xsd:restriction>
      </xsd:simpleType>
    </xsd:element>
    <xsd:element name="Notes0" ma:index="15" nillable="true" ma:displayName="Notes" ma:internalName="Notes0">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Archived_x003f_" ma:index="19" nillable="true" ma:displayName="Archived?" ma:default="0" ma:internalName="Archived_x003f_">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a31b5-b919-47c5-8ee7-969a08152f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cord_x0020_Number xmlns="f07d8113-1d44-46cb-baa5-a742d0650dfc">BL000167385912</Record_x0020_Number>
    <Archived_x003f_ xmlns="43e8a34e-4404-4c21-b47d-9ee9da1d1a36">false</Archived_x003f_>
    <Notes0 xmlns="43e8a34e-4404-4c21-b47d-9ee9da1d1a36" xsi:nil="true"/>
    <Legislation xmlns="43e8a34e-4404-4c21-b47d-9ee9da1d1a36" xsi:nil="true"/>
    <Status xmlns="43e8a34e-4404-4c21-b47d-9ee9da1d1a36" xsi:nil="true"/>
  </documentManagement>
</p:properties>
</file>

<file path=customXml/item6.xml><?xml version="1.0" encoding="utf-8"?>
<?mso-contentType ?>
<SharedContentType xmlns="Microsoft.SharePoint.Taxonomy.ContentTypeSync" SourceId="db163b37-248a-4bdb-8038-6e8df1cc47ab" ContentTypeId="0x0101009539F0BE8B7294468FFF5888026FCF32" PreviousValue="false"/>
</file>

<file path=customXml/item7.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B375D23-39C7-4CF3-AF96-5FE9B88937B2}">
  <ds:schemaRefs>
    <ds:schemaRef ds:uri="http://schemas.openxmlformats.org/officeDocument/2006/bibliography"/>
  </ds:schemaRefs>
</ds:datastoreItem>
</file>

<file path=customXml/itemProps2.xml><?xml version="1.0" encoding="utf-8"?>
<ds:datastoreItem xmlns:ds="http://schemas.openxmlformats.org/officeDocument/2006/customXml" ds:itemID="{5C1C9246-CAD4-4312-A1ED-8C00252E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d8113-1d44-46cb-baa5-a742d0650dfc"/>
    <ds:schemaRef ds:uri="43e8a34e-4404-4c21-b47d-9ee9da1d1a36"/>
    <ds:schemaRef ds:uri="94ba31b5-b919-47c5-8ee7-969a08152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C94F4-BFED-45A1-ACB8-CF4F2910BDC3}">
  <ds:schemaRefs>
    <ds:schemaRef ds:uri="http://schemas.microsoft.com/sharepoint/v3/contenttype/forms"/>
  </ds:schemaRefs>
</ds:datastoreItem>
</file>

<file path=customXml/itemProps4.xml><?xml version="1.0" encoding="utf-8"?>
<ds:datastoreItem xmlns:ds="http://schemas.openxmlformats.org/officeDocument/2006/customXml" ds:itemID="{66D7914F-2A8B-4012-99FA-30EF2A498518}">
  <ds:schemaRefs>
    <ds:schemaRef ds:uri="http://schemas.microsoft.com/office/2006/metadata/longProperties"/>
  </ds:schemaRefs>
</ds:datastoreItem>
</file>

<file path=customXml/itemProps5.xml><?xml version="1.0" encoding="utf-8"?>
<ds:datastoreItem xmlns:ds="http://schemas.openxmlformats.org/officeDocument/2006/customXml" ds:itemID="{813331A5-5CDE-4A9F-B35D-BB1DBDB4F040}">
  <ds:schemaRefs>
    <ds:schemaRef ds:uri="http://schemas.microsoft.com/office/2006/metadata/properties"/>
    <ds:schemaRef ds:uri="http://schemas.microsoft.com/office/infopath/2007/PartnerControls"/>
    <ds:schemaRef ds:uri="f07d8113-1d44-46cb-baa5-a742d0650dfc"/>
    <ds:schemaRef ds:uri="43e8a34e-4404-4c21-b47d-9ee9da1d1a36"/>
  </ds:schemaRefs>
</ds:datastoreItem>
</file>

<file path=customXml/itemProps6.xml><?xml version="1.0" encoding="utf-8"?>
<ds:datastoreItem xmlns:ds="http://schemas.openxmlformats.org/officeDocument/2006/customXml" ds:itemID="{5A9DC5BF-D9F6-4BEE-AFF4-FBDF2EE0099C}">
  <ds:schemaRefs>
    <ds:schemaRef ds:uri="Microsoft.SharePoint.Taxonomy.ContentTypeSync"/>
  </ds:schemaRefs>
</ds:datastoreItem>
</file>

<file path=customXml/itemProps7.xml><?xml version="1.0" encoding="utf-8"?>
<ds:datastoreItem xmlns:ds="http://schemas.openxmlformats.org/officeDocument/2006/customXml" ds:itemID="{C976AE63-7229-464F-B052-168F4A2047F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1564</Words>
  <Characters>9948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Risk Management Policy</vt:lpstr>
    </vt:vector>
  </TitlesOfParts>
  <Company/>
  <LinksUpToDate>false</LinksUpToDate>
  <CharactersWithSpaces>11490</CharactersWithSpaces>
  <SharedDoc>false</SharedDoc>
  <HLinks>
    <vt:vector size="36" baseType="variant">
      <vt:variant>
        <vt:i4>327709</vt:i4>
      </vt:variant>
      <vt:variant>
        <vt:i4>15</vt:i4>
      </vt:variant>
      <vt:variant>
        <vt:i4>0</vt:i4>
      </vt:variant>
      <vt:variant>
        <vt:i4>5</vt:i4>
      </vt:variant>
      <vt:variant>
        <vt:lpwstr>https://unimelb.service-now.com/sp?id=kb_article&amp;sys_id=b13d2f6e872b19d0926543770cbb3545</vt:lpwstr>
      </vt:variant>
      <vt:variant>
        <vt:lpwstr/>
      </vt:variant>
      <vt:variant>
        <vt:i4>196628</vt:i4>
      </vt:variant>
      <vt:variant>
        <vt:i4>12</vt:i4>
      </vt:variant>
      <vt:variant>
        <vt:i4>0</vt:i4>
      </vt:variant>
      <vt:variant>
        <vt:i4>5</vt:i4>
      </vt:variant>
      <vt:variant>
        <vt:lpwstr>http://www.unimelb.edu.au/governance/statutes</vt:lpwstr>
      </vt:variant>
      <vt:variant>
        <vt:lpwstr/>
      </vt:variant>
      <vt:variant>
        <vt:i4>2490395</vt:i4>
      </vt:variant>
      <vt:variant>
        <vt:i4>9</vt:i4>
      </vt:variant>
      <vt:variant>
        <vt:i4>0</vt:i4>
      </vt:variant>
      <vt:variant>
        <vt:i4>5</vt:i4>
      </vt:variant>
      <vt:variant>
        <vt:lpwstr>http://www.legislation.vic.gov.au/domino/web_notes/ldms/pubstatbook.nsf/edfb620cf7503d1aca256da4001b08af/489fcdb5278f3602ca25767f00102b11/$file/09-078a.pdf</vt:lpwstr>
      </vt:variant>
      <vt:variant>
        <vt:lpwstr/>
      </vt:variant>
      <vt:variant>
        <vt:i4>4980818</vt:i4>
      </vt:variant>
      <vt:variant>
        <vt:i4>6</vt:i4>
      </vt:variant>
      <vt:variant>
        <vt:i4>0</vt:i4>
      </vt:variant>
      <vt:variant>
        <vt:i4>5</vt:i4>
      </vt:variant>
      <vt:variant>
        <vt:lpwstr>https://about.unimelb.edu.au/strategy/governance/regulatory-framework</vt:lpwstr>
      </vt:variant>
      <vt:variant>
        <vt:lpwstr/>
      </vt:variant>
      <vt:variant>
        <vt:i4>6029340</vt:i4>
      </vt:variant>
      <vt:variant>
        <vt:i4>3</vt:i4>
      </vt:variant>
      <vt:variant>
        <vt:i4>0</vt:i4>
      </vt:variant>
      <vt:variant>
        <vt:i4>5</vt:i4>
      </vt:variant>
      <vt:variant>
        <vt:lpwstr>https://au.promapp.com/unimelb/Process/Group/bb71f4d6-cfdb-464b-9661-1a6a9098726d</vt:lpwstr>
      </vt:variant>
      <vt:variant>
        <vt:lpwstr/>
      </vt:variant>
      <vt:variant>
        <vt:i4>4325455</vt:i4>
      </vt:variant>
      <vt:variant>
        <vt:i4>0</vt:i4>
      </vt:variant>
      <vt:variant>
        <vt:i4>0</vt:i4>
      </vt:variant>
      <vt:variant>
        <vt:i4>5</vt:i4>
      </vt:variant>
      <vt:variant>
        <vt:lpwstr>https://policy.unimelb.edu.au/category/Governance and 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Policy</dc:title>
  <dc:subject/>
  <dc:creator>Amelia Scurry</dc:creator>
  <cp:keywords/>
  <cp:lastModifiedBy>Marie Liskaser</cp:lastModifiedBy>
  <cp:revision>3</cp:revision>
  <cp:lastPrinted>2022-09-29T23:34:00Z</cp:lastPrinted>
  <dcterms:created xsi:type="dcterms:W3CDTF">2024-10-25T00:00:00Z</dcterms:created>
  <dcterms:modified xsi:type="dcterms:W3CDTF">2024-10-25T00:05:00Z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Final</vt:lpwstr>
  </property>
  <property fmtid="{D5CDD505-2E9C-101B-9397-08002B2CF9AE}" pid="3" name="Document Type">
    <vt:lpwstr>Attachment</vt:lpwstr>
  </property>
  <property fmtid="{D5CDD505-2E9C-101B-9397-08002B2CF9AE}" pid="4" name="ContentTypeId">
    <vt:lpwstr>0x0101009539F0BE8B7294468FFF5888026FCF3200915CF22B44A46341B480E33AB445209A00600A34ACE686744FA1DAAC21253E063E</vt:lpwstr>
  </property>
  <property fmtid="{D5CDD505-2E9C-101B-9397-08002B2CF9AE}" pid="5" name="display_urn:schemas-microsoft-com:office:office#SharedWithUsers">
    <vt:lpwstr>Stefan Delaney;Rebecca Bywater;Amelia Scurry;Tristram Smith;Keat Tan;Sally Cattell;Anita Ashlin;Fiona Downie;Adrian Mannix;Nicky Haslinghouse</vt:lpwstr>
  </property>
  <property fmtid="{D5CDD505-2E9C-101B-9397-08002B2CF9AE}" pid="6" name="SharedWithUsers">
    <vt:lpwstr>16;#Stefan Delaney;#15;#Rebecca Bywater;#14;#Amelia Scurry;#24;#Tristram Smith;#25;#Keat Tan;#10;#Sally Cattell;#18;#Anita Ashlin;#23;#Fiona Downie;#22;#Adrian Mannix;#30;#Nicky Haslinghouse</vt:lpwstr>
  </property>
</Properties>
</file>