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Membership Subscriptions Procedure (MPF1169)</w:t>
      </w:r>
    </w:p>
    <w:p>
      <w:r/>
    </w:p>
    <w:p>
      <w:r>
        <w:rPr>
          <w:rFonts w:ascii="Source Sans Pro" w:hAnsi="Source Sans Pro"/>
          <w:b/>
          <w:sz w:val="20"/>
        </w:rPr>
        <w:t xml:space="preserve">Category: </w:t>
      </w:r>
      <w:r/>
      <w:hyperlink r:id="rId14">
        <w:r>
          <w:rPr>
            <w:color w:val="0000FF"/>
            <w:u w:val="single"/>
          </w:rPr>
          <w:t xml:space="preserve"> Employment </w:t>
        </w:r>
      </w:hyperlink>
      <w:r/>
      <w:r>
        <w:br/>
      </w:r>
      <w:r>
        <w:rPr>
          <w:rFonts w:ascii="Source Sans Pro" w:hAnsi="Source Sans Pro"/>
          <w:b/>
          <w:sz w:val="20"/>
        </w:rPr>
        <w:t xml:space="preserve">Version: </w:t>
      </w:r>
      <w:r>
        <w:rPr>
          <w:rFonts w:ascii="Source Sans Pro" w:hAnsi="Source Sans Pro"/>
          <w:sz w:val="20"/>
        </w:rPr>
        <w:t>1</w:t>
        <w:br/>
      </w:r>
      <w:r>
        <w:rPr>
          <w:rFonts w:ascii="Source Sans Pro" w:hAnsi="Source Sans Pro"/>
          <w:b/>
          <w:sz w:val="20"/>
        </w:rPr>
        <w:t xml:space="preserve">Document Type: </w:t>
      </w:r>
      <w:r>
        <w:rPr>
          <w:rFonts w:ascii="Source Sans Pro" w:hAnsi="Source Sans Pro"/>
          <w:sz w:val="20"/>
        </w:rPr>
        <w:t>Procedure</w:t>
        <w:br/>
      </w:r>
      <w:r>
        <w:rPr>
          <w:rFonts w:ascii="Source Sans Pro" w:hAnsi="Source Sans Pro"/>
          <w:b/>
          <w:sz w:val="20"/>
        </w:rPr>
        <w:t xml:space="preserve">Document Status: </w:t>
      </w:r>
      <w:r>
        <w:rPr>
          <w:rFonts w:ascii="Source Sans Pro" w:hAnsi="Source Sans Pro"/>
          <w:sz w:val="20"/>
        </w:rPr>
        <w:t>Published</w:t>
        <w:br/>
      </w:r>
      <w:r>
        <w:rPr>
          <w:rFonts w:ascii="Source Sans Pro" w:hAnsi="Source Sans Pro"/>
          <w:b/>
          <w:sz w:val="20"/>
        </w:rPr>
        <w:t xml:space="preserve">Approved Date: </w:t>
      </w:r>
      <w:r>
        <w:rPr>
          <w:rFonts w:ascii="Source Sans Pro" w:hAnsi="Source Sans Pro"/>
          <w:sz w:val="20"/>
        </w:rPr>
        <w:t>20 August, 2012</w:t>
        <w:br/>
      </w:r>
      <w:r>
        <w:rPr>
          <w:rFonts w:ascii="Source Sans Pro" w:hAnsi="Source Sans Pro"/>
          <w:b/>
          <w:sz w:val="20"/>
        </w:rPr>
        <w:t xml:space="preserve">Audience: </w:t>
      </w:r>
      <w:r>
        <w:rPr>
          <w:rFonts w:ascii="Source Sans Pro" w:hAnsi="Source Sans Pro"/>
          <w:sz w:val="20"/>
        </w:rPr>
        <w:t>Staff, Research, Academic</w:t>
        <w:br/>
      </w:r>
      <w:r>
        <w:rPr>
          <w:rFonts w:ascii="Source Sans Pro" w:hAnsi="Source Sans Pro"/>
          <w:b/>
          <w:sz w:val="20"/>
        </w:rPr>
        <w:t xml:space="preserve">Effective Date: </w:t>
      </w:r>
      <w:r>
        <w:rPr>
          <w:rFonts w:ascii="Source Sans Pro" w:hAnsi="Source Sans Pro"/>
          <w:sz w:val="20"/>
        </w:rPr>
        <w:t>21 August, 2012</w:t>
        <w:br/>
      </w:r>
      <w:r>
        <w:rPr>
          <w:rFonts w:ascii="Source Sans Pro" w:hAnsi="Source Sans Pro"/>
          <w:b/>
          <w:sz w:val="20"/>
        </w:rPr>
        <w:t xml:space="preserve">Review due by: </w:t>
      </w:r>
      <w:r>
        <w:rPr>
          <w:rFonts w:ascii="Source Sans Pro" w:hAnsi="Source Sans Pro"/>
          <w:sz w:val="20"/>
        </w:rPr>
        <w:t>30 November, 2014</w:t>
        <w:br/>
      </w:r>
      <w:r>
        <w:rPr>
          <w:rFonts w:ascii="Source Sans Pro" w:hAnsi="Source Sans Pro"/>
          <w:b/>
          <w:sz w:val="20"/>
        </w:rPr>
        <w:t xml:space="preserve">Policy Approver: </w:t>
      </w:r>
      <w:r>
        <w:rPr>
          <w:rFonts w:ascii="Source Sans Pro" w:hAnsi="Source Sans Pro"/>
          <w:sz w:val="20"/>
        </w:rPr>
        <w:t>Executive Director, Human Resources</w:t>
        <w:br/>
      </w:r>
      <w:r>
        <w:rPr>
          <w:rFonts w:ascii="Source Sans Pro" w:hAnsi="Source Sans Pro"/>
          <w:b/>
          <w:sz w:val="20"/>
        </w:rPr>
        <w:t xml:space="preserve">Policy Steward: </w:t>
      </w:r>
      <w:r>
        <w:rPr>
          <w:rFonts w:ascii="Source Sans Pro" w:hAnsi="Source Sans Pro"/>
          <w:sz w:val="20"/>
        </w:rPr>
        <w:t xml:space="preserve">Director, Hr Specialist Services </w:t>
        <w:br/>
      </w:r>
    </w:p>
    <w:p>
      <w:r/>
      <w:r/>
      <w:r/>
      <w:r/>
      <w:r/>
      <w:r/>
    </w:p>
    <w:p>
      <w:pPr>
        <w:pStyle w:val="Heading2"/>
      </w:pPr>
      <w:r/>
      <w:r/>
      <w:r/>
      <w:r>
        <w:t xml:space="preserve">GOVERNING POLICY </w:t>
      </w:r>
      <w:r/>
      <w:r/>
      <w:r/>
      <w:r/>
      <w:r/>
    </w:p>
    <w:p>
      <w:r/>
      <w:r>
        <w:t xml:space="preserve">This procedure is made under the Remuneration, Recognition and Working Conditions Policy. </w:t>
      </w:r>
      <w:r/>
      <w:r/>
      <w:r/>
      <w:r/>
      <w:r/>
      <w:r/>
    </w:p>
    <w:p>
      <w:pPr>
        <w:pStyle w:val="Heading2"/>
      </w:pPr>
      <w:r/>
      <w:r/>
      <w:r/>
      <w:r>
        <w:t xml:space="preserve">SCOPE </w:t>
      </w:r>
      <w:r/>
      <w:r/>
      <w:r/>
      <w:r/>
      <w:r/>
    </w:p>
    <w:p>
      <w:r/>
      <w:r>
        <w:t xml:space="preserve">This procedure applies to all continuing or fixed term staff at the University. </w:t>
      </w:r>
      <w:r/>
      <w:r/>
      <w:r/>
      <w:r/>
      <w:r/>
      <w:r/>
    </w:p>
    <w:p>
      <w:pPr>
        <w:pStyle w:val="Heading2"/>
      </w:pPr>
      <w:r/>
      <w:r/>
      <w:r/>
      <w:r>
        <w:t xml:space="preserve">PROCEDURE </w:t>
      </w:r>
      <w:r/>
      <w:r/>
      <w:r/>
      <w:r/>
      <w:r/>
      <w:r/>
      <w:r/>
      <w:r/>
      <w:r/>
      <w:r/>
    </w:p>
    <w:p>
      <w:pPr>
        <w:pStyle w:val="Heading3"/>
      </w:pPr>
      <w:r/>
      <w:r/>
      <w:r/>
      <w:r>
        <w:t xml:space="preserve">1. Membership subscriptions </w:t>
      </w:r>
      <w:r/>
      <w:r/>
      <w:r/>
      <w:r/>
      <w:r/>
    </w:p>
    <w:p>
      <w:r/>
      <w:r>
        <w:t xml:space="preserve">1.1 The University may pay (in part or in full) membership subscriptions for staff; where that subscription is determined to be beneficial to the staff member and the University, and is related to the staff member's position. </w:t>
      </w:r>
      <w:r/>
    </w:p>
    <w:p>
      <w:r/>
      <w:r>
        <w:t xml:space="preserve">1.2 Academic and professional staff employed on continuing or fixed-term contracts, on a full or part-time basis, are eligible to apply for payment of work related personal membership subscriptions. </w:t>
      </w:r>
      <w:r/>
    </w:p>
    <w:p>
      <w:r/>
      <w:r>
        <w:t xml:space="preserve">1.3 In the case of fixed-term staff, eligibility for payment of membership subscriptions ceases at the date of expiry of the contract. </w:t>
      </w:r>
      <w:r/>
    </w:p>
    <w:p>
      <w:r/>
      <w:r>
        <w:t xml:space="preserve">1.4 Staff may independently claim such work related payments as tax deductions on their individual tax returns. </w:t>
      </w:r>
      <w:r/>
    </w:p>
    <w:p>
      <w:r/>
      <w:r>
        <w:t xml:space="preserve">1.5 A staff member wishing to be reimbursed for a personal membership subscription is required to forward a written request for payment to the relevant level 2 delegate. </w:t>
      </w:r>
      <w:r/>
    </w:p>
    <w:p>
      <w:r/>
      <w:r>
        <w:t xml:space="preserve">1.6 The request should indicate under which of the categories outlined in section 2 the request has been made. </w:t>
      </w:r>
      <w:r/>
    </w:p>
    <w:p>
      <w:r/>
      <w:r>
        <w:t xml:space="preserve">1.7 If the request satisfies one or more of the approval criteria, and funding is available, the level 2 delegate may approve the reimbursement for the subscription. </w:t>
      </w:r>
      <w:r/>
      <w:r/>
      <w:r/>
      <w:r/>
      <w:r/>
      <w:r/>
    </w:p>
    <w:p>
      <w:pPr>
        <w:pStyle w:val="Heading3"/>
      </w:pPr>
      <w:r/>
      <w:r/>
      <w:r/>
      <w:r>
        <w:t xml:space="preserve">2. Approval criteria for payment of personal membership subscriptions </w:t>
      </w:r>
      <w:r/>
      <w:r/>
      <w:r/>
      <w:r/>
      <w:r/>
    </w:p>
    <w:p>
      <w:r/>
      <w:r>
        <w:t xml:space="preserve">2.1 A level 2 delegate has the authority to approve the payment of a personal membership subscription on the condition that one or more of the following approval criteria has been met: </w:t>
      </w:r>
      <w:r/>
      <w:r/>
    </w:p>
    <w:p>
      <w:pPr>
        <w:pStyle w:val="ListBullet"/>
        <w:spacing w:line="240" w:lineRule="auto"/>
        <w:ind w:left="360"/>
      </w:pPr>
      <w:r/>
      <w:r>
        <w:t xml:space="preserve">such a payment was agreed as a Condition of Appointment for the staff member concerned </w:t>
      </w:r>
      <w:r/>
    </w:p>
    <w:p>
      <w:pPr>
        <w:pStyle w:val="ListBullet"/>
        <w:spacing w:line="240" w:lineRule="auto"/>
        <w:ind w:left="360"/>
      </w:pPr>
      <w:r/>
      <w:r>
        <w:t xml:space="preserve">such memberships are required by the University </w:t>
      </w:r>
      <w:r/>
    </w:p>
    <w:p>
      <w:pPr>
        <w:pStyle w:val="ListBullet"/>
        <w:spacing w:line="240" w:lineRule="auto"/>
        <w:ind w:left="360"/>
      </w:pPr>
      <w:r/>
      <w:r>
        <w:t xml:space="preserve">local arrangements exist in a department for payments of professional and/or personal memberships as a reward and recognition strategy, and a head of department has initiated such a reward to the staff member concerned (this would normally be for one subscription period and subject to annual review as part of the PDF process) </w:t>
      </w:r>
      <w:r/>
    </w:p>
    <w:p>
      <w:pPr>
        <w:pStyle w:val="ListBullet"/>
        <w:spacing w:line="240" w:lineRule="auto"/>
        <w:ind w:left="360"/>
      </w:pPr>
      <w:r/>
      <w:r>
        <w:t xml:space="preserve">a corporate membership is or is not available and a single personal membership is substituted on behalf of the department or faculty/division enabling a significant and demonstrable advantage other than simply a single individual benefit to accrue to the department or faculty/division e.g. for receipt of a journal that is placed in a departmental collection. </w:t>
      </w:r>
      <w:r/>
      <w:r/>
    </w:p>
    <w:p>
      <w:r/>
      <w:r>
        <w:t xml:space="preserve">2.2 Advice is to be sought from the local Human Resources consultant where a level 2 delegate is in any doubt about the reimbursement of a membership subscription. </w:t>
      </w:r>
      <w:r/>
    </w:p>
    <w:p>
      <w:r/>
      <w:r>
        <w:t xml:space="preserve">2.3 Corporate membership, (i.e. of the department or faculty/division), may be subscribed to at the delegate's discretion. </w:t>
      </w:r>
      <w:r/>
      <w:r/>
      <w:r/>
      <w:r/>
      <w:r/>
      <w:r/>
    </w:p>
    <w:p>
      <w:pPr>
        <w:pStyle w:val="Heading3"/>
      </w:pPr>
      <w:r/>
      <w:r/>
      <w:r/>
      <w:r>
        <w:t xml:space="preserve">3. Airline club membership </w:t>
      </w:r>
      <w:r/>
      <w:r/>
      <w:r/>
      <w:r/>
      <w:r/>
    </w:p>
    <w:p>
      <w:r/>
      <w:r>
        <w:t xml:space="preserve">3.1 A head of budget division may authorise expenditure for airline club membership from funds accruing from or in support of the travel activity. Memberships will be authorised only where there is a genuine University business related purpose. </w:t>
      </w:r>
      <w:r/>
    </w:p>
    <w:p>
      <w:r/>
      <w:r>
        <w:t xml:space="preserve">3.2 Authorisations should be documented for audit purposes and a register of approved memberships must be maintained centrally. </w:t>
      </w:r>
      <w:r/>
    </w:p>
    <w:p>
      <w:r/>
      <w:r>
        <w:t xml:space="preserve">3.3 Authorisation of club membership will only be considered when: </w:t>
      </w:r>
      <w:r/>
      <w:r/>
    </w:p>
    <w:p>
      <w:pPr>
        <w:pStyle w:val="ListBullet"/>
        <w:spacing w:line="240" w:lineRule="auto"/>
        <w:ind w:left="360"/>
      </w:pPr>
      <w:r/>
      <w:r>
        <w:t xml:space="preserve">there is demonstrable evidence that the staff member travels frequently for University business related purposes </w:t>
      </w:r>
      <w:r/>
    </w:p>
    <w:p>
      <w:pPr>
        <w:pStyle w:val="ListBullet"/>
        <w:spacing w:line="240" w:lineRule="auto"/>
        <w:ind w:left="360"/>
      </w:pPr>
      <w:r/>
      <w:r>
        <w:t xml:space="preserve">the level of travel undertaken is corroborated and the application unequivocally supported by the head of department </w:t>
      </w:r>
      <w:r/>
    </w:p>
    <w:p>
      <w:pPr>
        <w:pStyle w:val="ListBullet"/>
        <w:spacing w:line="240" w:lineRule="auto"/>
        <w:ind w:left="360"/>
      </w:pPr>
      <w:r/>
      <w:r>
        <w:t xml:space="preserve">the expenditure is charged to an appropriate non-government funded account where funds accruing from or in support of the travel activity are held. </w:t>
      </w:r>
      <w:r/>
      <w:r/>
    </w:p>
    <w:p>
      <w:r/>
      <w:r>
        <w:t xml:space="preserve">3.4 Membership may be approved on an annual basis. </w:t>
      </w:r>
      <w:r/>
    </w:p>
    <w:p>
      <w:r/>
      <w:r>
        <w:t xml:space="preserve">3.5 Under no circumstances will University funds be used to meet the cost of a life membership, however, a staff member may personally top up an approved allocation for this purpose. </w:t>
      </w:r>
      <w:r/>
    </w:p>
    <w:p>
      <w:r/>
      <w:r>
        <w:t xml:space="preserve">3.6 Staff may salary package membership of an airline club lounge. The HR website provides more information about salary packaging options. </w:t>
      </w:r>
      <w:r/>
      <w:r/>
      <w:r/>
      <w:r/>
      <w:r/>
      <w:r/>
    </w:p>
    <w:p>
      <w:pPr>
        <w:pStyle w:val="Heading2"/>
      </w:pPr>
      <w:r/>
      <w:r/>
      <w:r/>
      <w:r>
        <w:t xml:space="preserve">RELATED DOCUMENTS </w:t>
      </w:r>
      <w:r/>
      <w:r/>
      <w:r/>
      <w:r/>
      <w:r/>
      <w:r/>
    </w:p>
    <w:p>
      <w:pPr>
        <w:pStyle w:val="ListBullet"/>
        <w:spacing w:line="240" w:lineRule="auto"/>
        <w:ind w:left="360"/>
      </w:pPr>
      <w:r/>
      <w:r/>
      <w:hyperlink r:id="rId9">
        <w:r>
          <w:rPr>
            <w:color w:val="0000EE"/>
            <w:u w:val="single"/>
          </w:rPr>
          <w:t xml:space="preserve">Remuneration, Recognition and Working Conditions Policy </w:t>
        </w:r>
      </w:hyperlink>
      <w:r/>
      <w:r/>
    </w:p>
    <w:p>
      <w:pPr>
        <w:pStyle w:val="ListBullet"/>
        <w:spacing w:line="240" w:lineRule="auto"/>
        <w:ind w:left="360"/>
      </w:pPr>
      <w:r/>
      <w:r/>
      <w:hyperlink r:id="rId10">
        <w:r>
          <w:rPr>
            <w:color w:val="0000EE"/>
            <w:u w:val="single"/>
          </w:rPr>
          <w:t xml:space="preserve">Allowances Procedure </w:t>
        </w:r>
      </w:hyperlink>
      <w:r/>
      <w:r/>
    </w:p>
    <w:p>
      <w:pPr>
        <w:pStyle w:val="ListBullet"/>
        <w:spacing w:line="240" w:lineRule="auto"/>
        <w:ind w:left="360"/>
      </w:pPr>
      <w:r/>
      <w:r>
        <w:t xml:space="preserve">Delegations Policy </w:t>
      </w:r>
      <w:r/>
    </w:p>
    <w:p>
      <w:pPr>
        <w:pStyle w:val="ListBullet"/>
        <w:spacing w:line="240" w:lineRule="auto"/>
        <w:ind w:left="360"/>
      </w:pPr>
      <w:r/>
      <w:r/>
      <w:hyperlink r:id="rId11">
        <w:r>
          <w:rPr>
            <w:color w:val="0000EE"/>
            <w:u w:val="single"/>
          </w:rPr>
          <w:t xml:space="preserve">Schedule D – Human Resources Delegations </w:t>
        </w:r>
      </w:hyperlink>
      <w:r/>
      <w:r/>
    </w:p>
    <w:p>
      <w:pPr>
        <w:pStyle w:val="ListBullet"/>
        <w:spacing w:line="240" w:lineRule="auto"/>
        <w:ind w:left="360"/>
      </w:pPr>
      <w:r/>
      <w:r/>
      <w:hyperlink r:id="rId12">
        <w:r>
          <w:rPr>
            <w:color w:val="0000EE"/>
            <w:u w:val="single"/>
          </w:rPr>
          <w:t xml:space="preserve">Human Resources website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30 November 2014.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1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Source Sans Pro" w:hAnsi="Source Sans Pro"/>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Source Sans Pro" w:eastAsiaTheme="majorEastAsia" w:hAnsiTheme="majorHAnsi" w:cstheme="majorBidi"/>
      <w:b/>
      <w:bCs/>
      <w:color w:val="000F46"/>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Source Sans Pro" w:eastAsiaTheme="majorEastAsia" w:hAnsiTheme="majorHAnsi" w:cstheme="majorBidi"/>
      <w:b/>
      <w:bCs/>
      <w:color w:val="000F46"/>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Source Sans Pro" w:eastAsiaTheme="majorEastAsia" w:hAnsiTheme="majorHAnsi" w:cstheme="majorBidi"/>
      <w:b/>
      <w:bCs/>
      <w:color w:val="000F46"/>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Source Sans Pro" w:eastAsiaTheme="majorEastAsia" w:hAnsiTheme="majorHAnsi" w:cstheme="majorBidi"/>
      <w:b/>
      <w:bCs/>
      <w:i/>
      <w:iCs/>
      <w:color w:val="000F46"/>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Source Sans Pro" w:eastAsiaTheme="majorEastAsia" w:hAnsiTheme="majorHAnsi" w:cstheme="majorBidi"/>
      <w:color w:val="000F46"/>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Source Sans Pro" w:eastAsiaTheme="majorEastAsia" w:hAnsiTheme="majorHAnsi" w:cstheme="majorBidi"/>
      <w:i/>
      <w:iCs/>
      <w:color w:val="000F46"/>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policy.unimelb.edu.au/MPF1223" TargetMode="External"/><Relationship Id="rId10" Type="http://schemas.openxmlformats.org/officeDocument/2006/relationships/hyperlink" Target="http://policy.unimelb.edu.au/MPF1168" TargetMode="External"/><Relationship Id="rId11" Type="http://schemas.openxmlformats.org/officeDocument/2006/relationships/hyperlink" Target="http://policy.unimelb.edu.au/MPF1237" TargetMode="External"/><Relationship Id="rId12" Type="http://schemas.openxmlformats.org/officeDocument/2006/relationships/hyperlink" Target="http://www.hr.unimelb.edu.au" TargetMode="External"/><Relationship Id="rId13" Type="http://schemas.openxmlformats.org/officeDocument/2006/relationships/footer" Target="footer1.xml"/><Relationship Id="rId14"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