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pStyle w:val="Heading1"/>
      </w:pPr>
      <w:r>
        <w:rPr>
          <w:b/>
        </w:rPr>
        <w:t>Probation Procedure (MPF1148)</w:t>
      </w:r>
    </w:p>
    <w:p>
      <w:r/>
    </w:p>
    <w:p>
      <w:r>
        <w:rPr>
          <w:rFonts w:ascii="Source Sans Pro" w:hAnsi="Source Sans Pro"/>
          <w:b/>
          <w:sz w:val="20"/>
        </w:rPr>
        <w:t xml:space="preserve">Category: </w:t>
      </w:r>
      <w:r/>
      <w:hyperlink r:id="rId19">
        <w:r>
          <w:rPr>
            <w:color w:val="0000FF"/>
            <w:u w:val="single"/>
          </w:rPr>
          <w:t xml:space="preserve"> Employment </w:t>
        </w:r>
      </w:hyperlink>
      <w:r/>
      <w:r>
        <w:br/>
      </w:r>
      <w:r>
        <w:rPr>
          <w:rFonts w:ascii="Source Sans Pro" w:hAnsi="Source Sans Pro"/>
          <w:b/>
          <w:sz w:val="20"/>
        </w:rPr>
        <w:t xml:space="preserve">Version: </w:t>
      </w:r>
      <w:r>
        <w:rPr>
          <w:rFonts w:ascii="Source Sans Pro" w:hAnsi="Source Sans Pro"/>
          <w:sz w:val="20"/>
        </w:rPr>
        <w:t>5</w:t>
        <w:br/>
      </w:r>
      <w:r>
        <w:rPr>
          <w:rFonts w:ascii="Source Sans Pro" w:hAnsi="Source Sans Pro"/>
          <w:b/>
          <w:sz w:val="20"/>
        </w:rPr>
        <w:t xml:space="preserve">Document Type: </w:t>
      </w:r>
      <w:r>
        <w:rPr>
          <w:rFonts w:ascii="Source Sans Pro" w:hAnsi="Source Sans Pro"/>
          <w:sz w:val="20"/>
        </w:rPr>
        <w:t>Procedure</w:t>
        <w:br/>
      </w:r>
      <w:r>
        <w:rPr>
          <w:rFonts w:ascii="Source Sans Pro" w:hAnsi="Source Sans Pro"/>
          <w:b/>
          <w:sz w:val="20"/>
        </w:rPr>
        <w:t xml:space="preserve">Document Status: </w:t>
      </w:r>
      <w:r>
        <w:rPr>
          <w:rFonts w:ascii="Source Sans Pro" w:hAnsi="Source Sans Pro"/>
          <w:sz w:val="20"/>
        </w:rPr>
        <w:t>Published</w:t>
        <w:br/>
      </w:r>
      <w:r>
        <w:rPr>
          <w:rFonts w:ascii="Source Sans Pro" w:hAnsi="Source Sans Pro"/>
          <w:b/>
          <w:sz w:val="20"/>
        </w:rPr>
        <w:t xml:space="preserve">Approved Date: </w:t>
      </w:r>
      <w:r>
        <w:rPr>
          <w:rFonts w:ascii="Source Sans Pro" w:hAnsi="Source Sans Pro"/>
          <w:sz w:val="20"/>
        </w:rPr>
        <w:t>01 September, 2024</w:t>
        <w:br/>
      </w:r>
      <w:r>
        <w:rPr>
          <w:rFonts w:ascii="Source Sans Pro" w:hAnsi="Source Sans Pro"/>
          <w:b/>
          <w:sz w:val="20"/>
        </w:rPr>
        <w:t xml:space="preserve">Audience: </w:t>
      </w:r>
      <w:r>
        <w:rPr>
          <w:rFonts w:ascii="Source Sans Pro" w:hAnsi="Source Sans Pro"/>
          <w:sz w:val="20"/>
        </w:rPr>
        <w:t>Staff, Academic</w:t>
        <w:br/>
      </w:r>
      <w:r>
        <w:rPr>
          <w:rFonts w:ascii="Source Sans Pro" w:hAnsi="Source Sans Pro"/>
          <w:b/>
          <w:sz w:val="20"/>
        </w:rPr>
        <w:t xml:space="preserve">Effective Date: </w:t>
      </w:r>
      <w:r>
        <w:rPr>
          <w:rFonts w:ascii="Source Sans Pro" w:hAnsi="Source Sans Pro"/>
          <w:sz w:val="20"/>
        </w:rPr>
        <w:t>04 September, 2024</w:t>
        <w:br/>
      </w:r>
      <w:r>
        <w:rPr>
          <w:rFonts w:ascii="Source Sans Pro" w:hAnsi="Source Sans Pro"/>
          <w:b/>
          <w:sz w:val="20"/>
        </w:rPr>
        <w:t xml:space="preserve">Review due by: </w:t>
      </w:r>
      <w:r>
        <w:rPr>
          <w:rFonts w:ascii="Source Sans Pro" w:hAnsi="Source Sans Pro"/>
          <w:sz w:val="20"/>
        </w:rPr>
        <w:t>02 September, 2027</w:t>
        <w:br/>
      </w:r>
      <w:r>
        <w:rPr>
          <w:rFonts w:ascii="Source Sans Pro" w:hAnsi="Source Sans Pro"/>
          <w:b/>
          <w:sz w:val="20"/>
        </w:rPr>
        <w:t xml:space="preserve">Policy Approver: </w:t>
      </w:r>
      <w:r>
        <w:rPr>
          <w:rFonts w:ascii="Source Sans Pro" w:hAnsi="Source Sans Pro"/>
          <w:sz w:val="20"/>
        </w:rPr>
        <w:t>Executive Director, Human Resources</w:t>
        <w:br/>
      </w:r>
      <w:r>
        <w:rPr>
          <w:rFonts w:ascii="Source Sans Pro" w:hAnsi="Source Sans Pro"/>
          <w:b/>
          <w:sz w:val="20"/>
        </w:rPr>
        <w:t xml:space="preserve">Policy Steward: </w:t>
      </w:r>
      <w:r>
        <w:rPr>
          <w:rFonts w:ascii="Source Sans Pro" w:hAnsi="Source Sans Pro"/>
          <w:sz w:val="20"/>
        </w:rPr>
        <w:t xml:space="preserve">Director, Hr Specialist Services </w:t>
        <w:br/>
      </w:r>
    </w:p>
    <w:p w14:paraId="5CB44A62" w14:textId="77777777" w:rsidR="00D73E68" w:rsidRPr="000207FE" w:rsidRDefault="002F6F94" w:rsidP="002F76D1">
      <w:pPr>
        <w:pStyle w:val="MPLNoNumberingHeadings"/>
      </w:pPr>
      <w:r w:rsidRPr="000207FE">
        <w:t xml:space="preserve">GOVERNING POLICY </w:t>
      </w:r>
    </w:p>
    <w:p w14:paraId="0B967350" w14:textId="4A9DB105" w:rsidR="00D73E68" w:rsidRPr="000207FE" w:rsidRDefault="002F6F94" w:rsidP="002F76D1">
      <w:pPr>
        <w:pStyle w:val="MPLParapgrah"/>
      </w:pPr>
      <w:r w:rsidRPr="000207FE">
        <w:t xml:space="preserve">This procedure is made under the </w:t>
      </w:r>
      <w:r w:rsidR="00B2396F" w:rsidRPr="000207FE">
        <w:t>Recruitment and Appointment Policy (</w:t>
      </w:r>
      <w:hyperlink r:id="rId11" w:history="1">
        <w:r w:rsidR="00B2396F" w:rsidRPr="000207FE">
          <w:rPr>
            <w:rStyle w:val="Hyperlink"/>
          </w:rPr>
          <w:t>MPF1152</w:t>
        </w:r>
      </w:hyperlink>
      <w:r w:rsidR="00B2396F" w:rsidRPr="000207FE">
        <w:t>)</w:t>
      </w:r>
      <w:r w:rsidRPr="000207FE">
        <w:t xml:space="preserve">. </w:t>
      </w:r>
    </w:p>
    <w:p w14:paraId="25D27225" w14:textId="77777777" w:rsidR="00D73E68" w:rsidRPr="000207FE" w:rsidRDefault="002F6F94" w:rsidP="002F76D1">
      <w:pPr>
        <w:pStyle w:val="MPLNoNumberingHeadings"/>
      </w:pPr>
      <w:r w:rsidRPr="000207FE">
        <w:t xml:space="preserve">SCOPE </w:t>
      </w:r>
    </w:p>
    <w:p w14:paraId="1571C41E" w14:textId="1DEAEE5B" w:rsidR="00D73E68" w:rsidRPr="000207FE" w:rsidRDefault="002F6F94" w:rsidP="002F76D1">
      <w:pPr>
        <w:pStyle w:val="MPLParapgrah"/>
      </w:pPr>
      <w:r w:rsidRPr="000207FE">
        <w:t xml:space="preserve">This policy applies to all continuing and fixed term </w:t>
      </w:r>
      <w:r w:rsidR="00BE0519" w:rsidRPr="000207FE">
        <w:t>employees</w:t>
      </w:r>
      <w:r w:rsidR="00AC49E7" w:rsidRPr="000207FE">
        <w:t xml:space="preserve"> engaged on a full-time or part</w:t>
      </w:r>
      <w:r w:rsidR="007B6F09" w:rsidRPr="000207FE">
        <w:t>-</w:t>
      </w:r>
      <w:r w:rsidR="00AC49E7" w:rsidRPr="000207FE">
        <w:t xml:space="preserve">time </w:t>
      </w:r>
      <w:r w:rsidR="007B6F09" w:rsidRPr="000207FE">
        <w:t>basis</w:t>
      </w:r>
      <w:r w:rsidRPr="000207FE">
        <w:t xml:space="preserve">. </w:t>
      </w:r>
    </w:p>
    <w:p w14:paraId="30B99E35" w14:textId="77777777" w:rsidR="00040E70" w:rsidRPr="000207FE" w:rsidRDefault="002F6F94" w:rsidP="002F76D1">
      <w:pPr>
        <w:pStyle w:val="MPLNoNumberingHeadings"/>
      </w:pPr>
      <w:r w:rsidRPr="000207FE">
        <w:t xml:space="preserve">PROCEDURE </w:t>
      </w:r>
    </w:p>
    <w:p w14:paraId="190D9164" w14:textId="5DDC1356" w:rsidR="00AB0196" w:rsidRPr="000207FE" w:rsidRDefault="0075327B" w:rsidP="00F457CC">
      <w:pPr>
        <w:pStyle w:val="MPLHeading1"/>
      </w:pPr>
      <w:r w:rsidRPr="000207FE">
        <w:t>Understanding</w:t>
      </w:r>
      <w:r w:rsidR="00AB0196" w:rsidRPr="000207FE">
        <w:t xml:space="preserve"> </w:t>
      </w:r>
      <w:r w:rsidR="00803EF8" w:rsidRPr="000207FE">
        <w:t xml:space="preserve">the </w:t>
      </w:r>
      <w:r w:rsidR="00AB0196" w:rsidRPr="000207FE">
        <w:t>probation</w:t>
      </w:r>
      <w:r w:rsidR="00803EF8" w:rsidRPr="000207FE">
        <w:t>ary</w:t>
      </w:r>
      <w:r w:rsidR="00051961" w:rsidRPr="000207FE">
        <w:t xml:space="preserve"> period</w:t>
      </w:r>
    </w:p>
    <w:p w14:paraId="388F57A2" w14:textId="25BB13DE" w:rsidR="00AB0196" w:rsidRPr="000207FE" w:rsidRDefault="00804180" w:rsidP="00F457CC">
      <w:pPr>
        <w:pStyle w:val="MPLParagraphlevel1"/>
      </w:pPr>
      <w:r w:rsidRPr="000207FE">
        <w:t>A probatio</w:t>
      </w:r>
      <w:r w:rsidR="00803EF8" w:rsidRPr="000207FE">
        <w:t xml:space="preserve">nary period is for a fixed </w:t>
      </w:r>
      <w:r w:rsidR="001423EB" w:rsidRPr="000207FE">
        <w:t xml:space="preserve">period </w:t>
      </w:r>
      <w:r w:rsidR="00D55CC6" w:rsidRPr="000207FE">
        <w:t>of</w:t>
      </w:r>
      <w:r w:rsidR="001423EB" w:rsidRPr="000207FE">
        <w:t xml:space="preserve"> time </w:t>
      </w:r>
      <w:r w:rsidR="001F6651" w:rsidRPr="000207FE">
        <w:t>(</w:t>
      </w:r>
      <w:r w:rsidR="00FE750F" w:rsidRPr="000207FE">
        <w:t>without extension</w:t>
      </w:r>
      <w:r w:rsidR="008723FE" w:rsidRPr="000207FE">
        <w:t xml:space="preserve">) </w:t>
      </w:r>
      <w:r w:rsidR="00933384" w:rsidRPr="000207FE">
        <w:t xml:space="preserve">as </w:t>
      </w:r>
      <w:r w:rsidR="001423EB" w:rsidRPr="000207FE">
        <w:t>set out in either</w:t>
      </w:r>
      <w:r w:rsidR="009D1EC7">
        <w:t xml:space="preserve"> clause 1.36 of</w:t>
      </w:r>
      <w:r w:rsidR="001423EB" w:rsidRPr="000207FE">
        <w:t xml:space="preserve"> </w:t>
      </w:r>
      <w:r w:rsidR="00051961" w:rsidRPr="000207FE">
        <w:t xml:space="preserve">the </w:t>
      </w:r>
      <w:hyperlink r:id="rId12" w:history="1">
        <w:r w:rsidR="008A1792" w:rsidRPr="005369DF">
          <w:rPr>
            <w:rStyle w:val="Hyperlink"/>
            <w:i/>
            <w:iCs/>
          </w:rPr>
          <w:t>University</w:t>
        </w:r>
        <w:r w:rsidR="00051961" w:rsidRPr="005369DF">
          <w:rPr>
            <w:rStyle w:val="Hyperlink"/>
            <w:i/>
            <w:iCs/>
          </w:rPr>
          <w:t xml:space="preserve"> of </w:t>
        </w:r>
        <w:r w:rsidR="008A1792" w:rsidRPr="005369DF">
          <w:rPr>
            <w:rStyle w:val="Hyperlink"/>
            <w:i/>
            <w:iCs/>
          </w:rPr>
          <w:t>Melbourne Enterprise Agreement 2024</w:t>
        </w:r>
      </w:hyperlink>
      <w:r w:rsidR="005864FB" w:rsidRPr="000207FE">
        <w:rPr>
          <w:i/>
          <w:iCs/>
        </w:rPr>
        <w:t xml:space="preserve"> </w:t>
      </w:r>
      <w:r w:rsidR="00040187" w:rsidRPr="000207FE">
        <w:t>(</w:t>
      </w:r>
      <w:r w:rsidR="00D6202F" w:rsidRPr="000207FE">
        <w:t>‘</w:t>
      </w:r>
      <w:r w:rsidR="00FD27F2" w:rsidRPr="000207FE">
        <w:t>2024 EA</w:t>
      </w:r>
      <w:r w:rsidR="00D6202F" w:rsidRPr="000207FE">
        <w:t>’</w:t>
      </w:r>
      <w:r w:rsidR="00FD27F2" w:rsidRPr="000207FE">
        <w:t>)</w:t>
      </w:r>
      <w:r w:rsidR="00F35532" w:rsidRPr="000207FE">
        <w:t>, the Senior Manager employment contract or the Execu</w:t>
      </w:r>
      <w:r w:rsidR="005864FB" w:rsidRPr="000207FE">
        <w:t>tive employment contract (whichever is app</w:t>
      </w:r>
      <w:r w:rsidR="0004306E" w:rsidRPr="000207FE">
        <w:t>licable)</w:t>
      </w:r>
      <w:r w:rsidR="000E2366" w:rsidRPr="000207FE">
        <w:t>.</w:t>
      </w:r>
    </w:p>
    <w:p w14:paraId="6F8BD4FF" w14:textId="6477F4D0" w:rsidR="000E2366" w:rsidRPr="000207FE" w:rsidRDefault="00936054" w:rsidP="00F457CC">
      <w:pPr>
        <w:pStyle w:val="MPLParagraphlevel1"/>
      </w:pPr>
      <w:r w:rsidRPr="000207FE">
        <w:t xml:space="preserve">The probationary period provides an opportunity to assess </w:t>
      </w:r>
      <w:r w:rsidR="002D3A26" w:rsidRPr="000207FE">
        <w:t xml:space="preserve">if the new employee </w:t>
      </w:r>
      <w:r w:rsidR="00847FA6" w:rsidRPr="000207FE">
        <w:t xml:space="preserve">displays </w:t>
      </w:r>
      <w:r w:rsidR="00407B6D" w:rsidRPr="000207FE">
        <w:t xml:space="preserve">the </w:t>
      </w:r>
      <w:r w:rsidR="00A87A7A" w:rsidRPr="000207FE">
        <w:t xml:space="preserve">right </w:t>
      </w:r>
      <w:r w:rsidR="00407B6D" w:rsidRPr="000207FE">
        <w:t>skills, capabilities, attitude</w:t>
      </w:r>
      <w:r w:rsidR="00901E40" w:rsidRPr="000207FE">
        <w:t>s</w:t>
      </w:r>
      <w:r w:rsidR="00407B6D" w:rsidRPr="000207FE">
        <w:t xml:space="preserve"> </w:t>
      </w:r>
      <w:r w:rsidR="009759E5" w:rsidRPr="000207FE">
        <w:t xml:space="preserve">and suitability to satisfactorily transition to the </w:t>
      </w:r>
      <w:r w:rsidR="00A87A7A" w:rsidRPr="000207FE">
        <w:t xml:space="preserve">role and/or </w:t>
      </w:r>
      <w:r w:rsidR="001F41C3" w:rsidRPr="000207FE">
        <w:t xml:space="preserve">to the </w:t>
      </w:r>
      <w:r w:rsidR="00144B8A" w:rsidRPr="000207FE">
        <w:t>organi</w:t>
      </w:r>
      <w:r w:rsidR="00DE3CB9" w:rsidRPr="000207FE">
        <w:t>s</w:t>
      </w:r>
      <w:r w:rsidR="00144B8A" w:rsidRPr="000207FE">
        <w:t>ation (i.e. validation of the hiring decision)</w:t>
      </w:r>
      <w:r w:rsidR="00A87A7A" w:rsidRPr="000207FE">
        <w:t>.</w:t>
      </w:r>
      <w:r w:rsidR="00097891" w:rsidRPr="000207FE">
        <w:t xml:space="preserve">  The probationary period also provides the new employee </w:t>
      </w:r>
      <w:r w:rsidR="003177D1" w:rsidRPr="000207FE">
        <w:t xml:space="preserve">opportunity to determine if the </w:t>
      </w:r>
      <w:r w:rsidR="0052780C" w:rsidRPr="000207FE">
        <w:t xml:space="preserve">role and/or </w:t>
      </w:r>
      <w:r w:rsidR="007F0744" w:rsidRPr="000207FE">
        <w:t>relationship with the organisation is viable</w:t>
      </w:r>
      <w:r w:rsidR="00B12951" w:rsidRPr="000207FE">
        <w:t xml:space="preserve"> in the long term</w:t>
      </w:r>
      <w:r w:rsidR="007F0744" w:rsidRPr="000207FE">
        <w:t>.</w:t>
      </w:r>
    </w:p>
    <w:p w14:paraId="753B6302" w14:textId="5F15EA71" w:rsidR="00240691" w:rsidRPr="000207FE" w:rsidRDefault="00C23676" w:rsidP="00F457CC">
      <w:pPr>
        <w:pStyle w:val="MPLParagraphlevel1"/>
      </w:pPr>
      <w:r w:rsidRPr="000207FE">
        <w:t xml:space="preserve">With exception to </w:t>
      </w:r>
      <w:r w:rsidR="00563D1E" w:rsidRPr="000207FE">
        <w:t xml:space="preserve">circumstances </w:t>
      </w:r>
      <w:r w:rsidR="00B014E8" w:rsidRPr="000207FE">
        <w:t>described below</w:t>
      </w:r>
      <w:r w:rsidR="001532A8" w:rsidRPr="000207FE">
        <w:t xml:space="preserve"> at </w:t>
      </w:r>
      <w:r w:rsidR="00097891" w:rsidRPr="000207FE">
        <w:t xml:space="preserve">section 1.4, the </w:t>
      </w:r>
      <w:r w:rsidR="00EC1464" w:rsidRPr="000207FE">
        <w:t>University</w:t>
      </w:r>
      <w:r w:rsidR="00097891" w:rsidRPr="000207FE">
        <w:t xml:space="preserve"> may choose to </w:t>
      </w:r>
      <w:r w:rsidR="00EC1464" w:rsidRPr="000207FE">
        <w:t xml:space="preserve">end the employment at any time </w:t>
      </w:r>
      <w:r w:rsidR="0051752D" w:rsidRPr="000207FE">
        <w:t xml:space="preserve">and for any reason </w:t>
      </w:r>
      <w:r w:rsidR="00EC1464" w:rsidRPr="000207FE">
        <w:t>during the probationary period</w:t>
      </w:r>
      <w:r w:rsidR="00C0211C" w:rsidRPr="000207FE">
        <w:t xml:space="preserve">.  </w:t>
      </w:r>
      <w:r w:rsidR="000341EF" w:rsidRPr="000207FE">
        <w:t xml:space="preserve">Probationary periods provide a shorter period of notice </w:t>
      </w:r>
      <w:r w:rsidR="00C335B6" w:rsidRPr="000207FE">
        <w:t xml:space="preserve">compared to post-probation employment </w:t>
      </w:r>
      <w:r w:rsidR="00E12BA7" w:rsidRPr="000207FE">
        <w:t xml:space="preserve">and are set </w:t>
      </w:r>
      <w:r w:rsidR="00FD27F2" w:rsidRPr="000207FE">
        <w:t xml:space="preserve">out in either </w:t>
      </w:r>
      <w:r w:rsidR="009D1EC7">
        <w:t xml:space="preserve">clause 1.36 of </w:t>
      </w:r>
      <w:r w:rsidR="00FD27F2" w:rsidRPr="000207FE">
        <w:t>the 2024</w:t>
      </w:r>
      <w:r w:rsidR="009D1EC7">
        <w:t> </w:t>
      </w:r>
      <w:r w:rsidR="00FD27F2" w:rsidRPr="000207FE">
        <w:t>EA, the Senior Manager employment contract or the Executive employment contract (whichever is applicable)</w:t>
      </w:r>
      <w:r w:rsidR="00BF20AD" w:rsidRPr="000207FE">
        <w:t>.</w:t>
      </w:r>
    </w:p>
    <w:p w14:paraId="02417716" w14:textId="452921F2" w:rsidR="00BF20AD" w:rsidRPr="000207FE" w:rsidRDefault="0051190C" w:rsidP="00F457CC">
      <w:pPr>
        <w:pStyle w:val="MPLParagraphlevel1"/>
      </w:pPr>
      <w:r w:rsidRPr="000207FE">
        <w:t>Regardless of length of service</w:t>
      </w:r>
      <w:r w:rsidR="004E6591" w:rsidRPr="000207FE">
        <w:t xml:space="preserve"> (</w:t>
      </w:r>
      <w:r w:rsidR="00DE741F" w:rsidRPr="000207FE">
        <w:t>including the</w:t>
      </w:r>
      <w:r w:rsidR="004E6591" w:rsidRPr="000207FE">
        <w:t xml:space="preserve"> probation</w:t>
      </w:r>
      <w:r w:rsidR="00DE741F" w:rsidRPr="000207FE">
        <w:t>ary</w:t>
      </w:r>
      <w:r w:rsidR="005D411C" w:rsidRPr="000207FE">
        <w:t xml:space="preserve"> period</w:t>
      </w:r>
      <w:r w:rsidR="004E6591" w:rsidRPr="000207FE">
        <w:t>)</w:t>
      </w:r>
      <w:r w:rsidRPr="000207FE">
        <w:t>, a</w:t>
      </w:r>
      <w:r w:rsidR="00DE741F" w:rsidRPr="000207FE">
        <w:t>n</w:t>
      </w:r>
      <w:r w:rsidRPr="000207FE">
        <w:t xml:space="preserve"> </w:t>
      </w:r>
      <w:r w:rsidR="00C25E16" w:rsidRPr="000207FE">
        <w:t xml:space="preserve">employee </w:t>
      </w:r>
      <w:r w:rsidR="00DE19BB" w:rsidRPr="000207FE">
        <w:t>has the right to make a general protections application under the provisions of the Fair Work Act 200</w:t>
      </w:r>
      <w:r w:rsidR="00371E44" w:rsidRPr="000207FE">
        <w:t>9 (Cth)</w:t>
      </w:r>
      <w:r w:rsidR="00663B21" w:rsidRPr="000207FE">
        <w:t xml:space="preserve"> where they believe </w:t>
      </w:r>
      <w:r w:rsidR="00B851CD" w:rsidRPr="000207FE">
        <w:t xml:space="preserve">their termination of employment was </w:t>
      </w:r>
      <w:r w:rsidR="002C3803" w:rsidRPr="000207FE">
        <w:t xml:space="preserve">due to </w:t>
      </w:r>
      <w:r w:rsidR="00337F3E" w:rsidRPr="000207FE">
        <w:t>the employee exercising a workplace right</w:t>
      </w:r>
      <w:r w:rsidR="003901E3" w:rsidRPr="000207FE">
        <w:t xml:space="preserve"> (</w:t>
      </w:r>
      <w:r w:rsidR="00904FCC" w:rsidRPr="000207FE">
        <w:t>such as the right to disconnect)</w:t>
      </w:r>
      <w:r w:rsidR="00A27F94" w:rsidRPr="000207FE">
        <w:t xml:space="preserve"> or </w:t>
      </w:r>
      <w:r w:rsidR="00CA777B" w:rsidRPr="000207FE">
        <w:t>less favourable treatment du</w:t>
      </w:r>
      <w:r w:rsidR="00904FCC" w:rsidRPr="000207FE">
        <w:t>e</w:t>
      </w:r>
      <w:r w:rsidR="00CA777B" w:rsidRPr="000207FE">
        <w:t xml:space="preserve"> to a protected attribute</w:t>
      </w:r>
      <w:r w:rsidR="00904FCC" w:rsidRPr="000207FE">
        <w:t xml:space="preserve"> </w:t>
      </w:r>
      <w:r w:rsidR="00661B78" w:rsidRPr="000207FE">
        <w:t xml:space="preserve">(such as </w:t>
      </w:r>
      <w:r w:rsidR="006B6CAD" w:rsidRPr="000207FE">
        <w:t xml:space="preserve">discrimination based on race, age, gender, </w:t>
      </w:r>
      <w:r w:rsidR="005A23D9" w:rsidRPr="000207FE">
        <w:t>domestic violence</w:t>
      </w:r>
      <w:r w:rsidR="006B6CAD" w:rsidRPr="000207FE">
        <w:t xml:space="preserve"> and other such attributes</w:t>
      </w:r>
      <w:r w:rsidR="005A23D9" w:rsidRPr="000207FE">
        <w:t>).</w:t>
      </w:r>
      <w:r w:rsidR="00731B68" w:rsidRPr="000207FE">
        <w:t xml:space="preserve">  </w:t>
      </w:r>
      <w:r w:rsidR="00A96BFD" w:rsidRPr="000207FE">
        <w:t xml:space="preserve">A supervisor should </w:t>
      </w:r>
      <w:r w:rsidR="006D1DDF" w:rsidRPr="000207FE">
        <w:t xml:space="preserve">assess </w:t>
      </w:r>
      <w:r w:rsidR="003730F7" w:rsidRPr="000207FE">
        <w:t xml:space="preserve">any </w:t>
      </w:r>
      <w:r w:rsidR="006D1DDF" w:rsidRPr="000207FE">
        <w:t xml:space="preserve">substantial risk pertaining to </w:t>
      </w:r>
      <w:r w:rsidR="008749B5" w:rsidRPr="000207FE">
        <w:t xml:space="preserve">a </w:t>
      </w:r>
      <w:r w:rsidR="006D1DDF" w:rsidRPr="000207FE">
        <w:t xml:space="preserve">general protections claim </w:t>
      </w:r>
      <w:r w:rsidR="00516628" w:rsidRPr="000207FE">
        <w:t xml:space="preserve">when considering </w:t>
      </w:r>
      <w:r w:rsidR="00EE528E" w:rsidRPr="000207FE">
        <w:t xml:space="preserve">termination of employment during </w:t>
      </w:r>
      <w:r w:rsidR="00593988" w:rsidRPr="000207FE">
        <w:t xml:space="preserve">the </w:t>
      </w:r>
      <w:r w:rsidR="00EE528E" w:rsidRPr="000207FE">
        <w:t>probation</w:t>
      </w:r>
      <w:r w:rsidR="00593988" w:rsidRPr="000207FE">
        <w:t xml:space="preserve"> period</w:t>
      </w:r>
      <w:r w:rsidR="00EE528E" w:rsidRPr="000207FE">
        <w:t>.</w:t>
      </w:r>
    </w:p>
    <w:p w14:paraId="31495674" w14:textId="7D977C26" w:rsidR="00A072EC" w:rsidRPr="000207FE" w:rsidRDefault="0024260C" w:rsidP="00F457CC">
      <w:pPr>
        <w:pStyle w:val="MPLParagraphlevel1"/>
      </w:pPr>
      <w:r w:rsidRPr="000207FE">
        <w:t>A</w:t>
      </w:r>
      <w:r w:rsidR="0030205B" w:rsidRPr="000207FE">
        <w:t xml:space="preserve"> supervisor </w:t>
      </w:r>
      <w:r w:rsidR="0052258A" w:rsidRPr="000207FE">
        <w:t xml:space="preserve">intending to </w:t>
      </w:r>
      <w:r w:rsidR="00BA7AF8" w:rsidRPr="000207FE">
        <w:t xml:space="preserve">end </w:t>
      </w:r>
      <w:r w:rsidR="00571C98" w:rsidRPr="000207FE">
        <w:t xml:space="preserve">a new employee’s </w:t>
      </w:r>
      <w:r w:rsidR="00BA7AF8" w:rsidRPr="000207FE">
        <w:t xml:space="preserve">employment during </w:t>
      </w:r>
      <w:r w:rsidR="00571C98" w:rsidRPr="000207FE">
        <w:t xml:space="preserve">the </w:t>
      </w:r>
      <w:r w:rsidR="00BA7AF8" w:rsidRPr="000207FE">
        <w:t>pr</w:t>
      </w:r>
      <w:r w:rsidR="00571C98" w:rsidRPr="000207FE">
        <w:t xml:space="preserve">obationary period </w:t>
      </w:r>
      <w:r w:rsidR="00050D0E" w:rsidRPr="000207FE">
        <w:t>is required to</w:t>
      </w:r>
      <w:r w:rsidR="00FE6013" w:rsidRPr="000207FE">
        <w:t xml:space="preserve"> seek prior advice and support from their Human Resources </w:t>
      </w:r>
      <w:r w:rsidR="008B643C" w:rsidRPr="000207FE">
        <w:t>Business Partner</w:t>
      </w:r>
      <w:r w:rsidR="00FE6013" w:rsidRPr="000207FE">
        <w:t xml:space="preserve"> and (</w:t>
      </w:r>
      <w:r w:rsidR="00893656" w:rsidRPr="000207FE">
        <w:t xml:space="preserve">where </w:t>
      </w:r>
      <w:r w:rsidR="00D165C5" w:rsidRPr="000207FE">
        <w:t>warranted</w:t>
      </w:r>
      <w:r w:rsidR="00B24512" w:rsidRPr="000207FE">
        <w:t>) Workplace Relations.</w:t>
      </w:r>
      <w:r w:rsidR="004C3D7C" w:rsidRPr="000207FE">
        <w:t xml:space="preserve"> </w:t>
      </w:r>
    </w:p>
    <w:p w14:paraId="2AC42986" w14:textId="77777777" w:rsidR="00D3541A" w:rsidRDefault="004C3D7C" w:rsidP="00D3541A">
      <w:pPr>
        <w:pStyle w:val="MPLParagraphlevel1"/>
      </w:pPr>
      <w:r w:rsidRPr="000207FE">
        <w:t xml:space="preserve">Ending employment during the probationary period </w:t>
      </w:r>
      <w:r w:rsidR="00132F97" w:rsidRPr="000207FE">
        <w:t xml:space="preserve">requires the same </w:t>
      </w:r>
      <w:r w:rsidR="00BE11C6" w:rsidRPr="000207FE">
        <w:t>decision</w:t>
      </w:r>
      <w:r w:rsidR="00CC3800" w:rsidRPr="000207FE">
        <w:t>-</w:t>
      </w:r>
      <w:r w:rsidR="00BE11C6" w:rsidRPr="000207FE">
        <w:t>making</w:t>
      </w:r>
      <w:r w:rsidR="00132F97" w:rsidRPr="000207FE">
        <w:t xml:space="preserve"> authority </w:t>
      </w:r>
      <w:r w:rsidR="00BE11C6" w:rsidRPr="000207FE">
        <w:t xml:space="preserve">and administrative process as any other form </w:t>
      </w:r>
      <w:r w:rsidR="0024260C" w:rsidRPr="000207FE">
        <w:t>of employment termination.</w:t>
      </w:r>
    </w:p>
    <w:p w14:paraId="51AA9554" w14:textId="12ED0ACE" w:rsidR="00581F37" w:rsidRPr="00D3541A" w:rsidRDefault="00AF4099" w:rsidP="00D3541A">
      <w:pPr>
        <w:pStyle w:val="MPLParagraphlevel1"/>
      </w:pPr>
      <w:r w:rsidRPr="00D3541A">
        <w:rPr>
          <w:szCs w:val="20"/>
        </w:rPr>
        <w:t xml:space="preserve">For academic employees, the probationary period is separate to Academic </w:t>
      </w:r>
      <w:r w:rsidR="002A5B79" w:rsidRPr="00D3541A">
        <w:rPr>
          <w:szCs w:val="20"/>
        </w:rPr>
        <w:t>Confirmation set out at clause 2.15 of the 2024 EA.</w:t>
      </w:r>
    </w:p>
    <w:p w14:paraId="273E7279" w14:textId="13576FA0" w:rsidR="00D73E68" w:rsidRPr="000207FE" w:rsidRDefault="000B70C5" w:rsidP="007074BE">
      <w:pPr>
        <w:pStyle w:val="MPLHeading1"/>
        <w:tabs>
          <w:tab w:val="num" w:pos="360"/>
        </w:tabs>
      </w:pPr>
      <w:r w:rsidRPr="000207FE">
        <w:t>Assisting</w:t>
      </w:r>
      <w:r w:rsidR="00B44BEC" w:rsidRPr="000207FE">
        <w:t xml:space="preserve"> new</w:t>
      </w:r>
      <w:r w:rsidRPr="000207FE">
        <w:t xml:space="preserve"> </w:t>
      </w:r>
      <w:r w:rsidR="00AE7DD0" w:rsidRPr="000207FE">
        <w:t>employee transition during probation</w:t>
      </w:r>
    </w:p>
    <w:p w14:paraId="5F5379B1" w14:textId="0764F440" w:rsidR="003349DB" w:rsidRPr="000207FE" w:rsidRDefault="00B2056D" w:rsidP="00C557D0">
      <w:pPr>
        <w:pStyle w:val="MPLParagraphlevel1"/>
        <w:numPr>
          <w:ilvl w:val="0"/>
          <w:numId w:val="0"/>
        </w:numPr>
      </w:pPr>
      <w:r w:rsidRPr="000207FE">
        <w:t>To assist a new employee</w:t>
      </w:r>
      <w:r w:rsidR="00481916" w:rsidRPr="000207FE">
        <w:t>’s</w:t>
      </w:r>
      <w:r w:rsidR="00BD2CEA" w:rsidRPr="000207FE">
        <w:t xml:space="preserve"> transition </w:t>
      </w:r>
      <w:r w:rsidR="00814783" w:rsidRPr="000207FE">
        <w:t>t</w:t>
      </w:r>
      <w:r w:rsidR="00BD2CEA" w:rsidRPr="000207FE">
        <w:t>o the</w:t>
      </w:r>
      <w:r w:rsidR="00814783" w:rsidRPr="000207FE">
        <w:t xml:space="preserve">ir new role </w:t>
      </w:r>
      <w:r w:rsidR="007B07AA" w:rsidRPr="000207FE">
        <w:t xml:space="preserve">and into the </w:t>
      </w:r>
      <w:r w:rsidR="00B4681D" w:rsidRPr="000207FE">
        <w:t>University</w:t>
      </w:r>
      <w:r w:rsidR="006B3866" w:rsidRPr="000207FE">
        <w:t xml:space="preserve">, and </w:t>
      </w:r>
      <w:r w:rsidR="007B07AA" w:rsidRPr="000207FE">
        <w:t xml:space="preserve">to also </w:t>
      </w:r>
      <w:r w:rsidR="006B3866" w:rsidRPr="000207FE">
        <w:t xml:space="preserve">mitigate risk of a general protections </w:t>
      </w:r>
      <w:r w:rsidR="00A13F26" w:rsidRPr="000207FE">
        <w:t>complaint (</w:t>
      </w:r>
      <w:r w:rsidR="003349DB" w:rsidRPr="000207FE">
        <w:t>refer to</w:t>
      </w:r>
      <w:r w:rsidR="001D57EC">
        <w:t xml:space="preserve"> section</w:t>
      </w:r>
      <w:r w:rsidR="003349DB" w:rsidRPr="000207FE">
        <w:t xml:space="preserve"> 1.4 above)</w:t>
      </w:r>
      <w:r w:rsidR="008A7828" w:rsidRPr="000207FE">
        <w:t>,</w:t>
      </w:r>
      <w:r w:rsidR="003349DB" w:rsidRPr="000207FE">
        <w:t xml:space="preserve"> </w:t>
      </w:r>
      <w:r w:rsidR="003D00A3" w:rsidRPr="000207FE">
        <w:t>t</w:t>
      </w:r>
      <w:r w:rsidR="002F6F94" w:rsidRPr="000207FE">
        <w:t xml:space="preserve">he </w:t>
      </w:r>
      <w:r w:rsidR="003D00A3" w:rsidRPr="000207FE">
        <w:t xml:space="preserve">new </w:t>
      </w:r>
      <w:r w:rsidR="00ED6410" w:rsidRPr="000207FE">
        <w:t>employee</w:t>
      </w:r>
      <w:r w:rsidR="002F6F94" w:rsidRPr="000207FE">
        <w:t xml:space="preserve">’s supervisor </w:t>
      </w:r>
      <w:r w:rsidR="000E03F9" w:rsidRPr="000207FE">
        <w:t xml:space="preserve">should consider </w:t>
      </w:r>
      <w:r w:rsidR="009E111D" w:rsidRPr="000207FE">
        <w:t xml:space="preserve">(amongst other things) </w:t>
      </w:r>
      <w:r w:rsidR="008A7828" w:rsidRPr="000207FE">
        <w:t>the following</w:t>
      </w:r>
      <w:r w:rsidR="008E5A08" w:rsidRPr="000207FE">
        <w:t xml:space="preserve"> </w:t>
      </w:r>
      <w:r w:rsidR="00763E5B" w:rsidRPr="000207FE">
        <w:t>managerial support and direction</w:t>
      </w:r>
      <w:r w:rsidR="002F6F94" w:rsidRPr="000207FE">
        <w:t xml:space="preserve">: </w:t>
      </w:r>
    </w:p>
    <w:p w14:paraId="6BADF684" w14:textId="0662143D" w:rsidR="00345192" w:rsidRPr="000207FE" w:rsidRDefault="00F21EA5" w:rsidP="007074BE">
      <w:pPr>
        <w:pStyle w:val="MPLParagraphlevel2"/>
      </w:pPr>
      <w:r w:rsidRPr="000207FE">
        <w:t>e</w:t>
      </w:r>
      <w:r w:rsidR="00345192" w:rsidRPr="000207FE">
        <w:t xml:space="preserve">nsure the </w:t>
      </w:r>
      <w:r w:rsidRPr="000207FE">
        <w:t xml:space="preserve">new employee is </w:t>
      </w:r>
      <w:r w:rsidR="004F6940" w:rsidRPr="000207FE">
        <w:t xml:space="preserve">appropriately onboarded, introduced to </w:t>
      </w:r>
      <w:r w:rsidR="00A131A2" w:rsidRPr="000207FE">
        <w:t xml:space="preserve">key colleagues relevant to the performance of their </w:t>
      </w:r>
      <w:r w:rsidR="008D7DD6" w:rsidRPr="000207FE">
        <w:t>work and help them</w:t>
      </w:r>
      <w:r w:rsidR="0082695E" w:rsidRPr="000207FE">
        <w:t xml:space="preserve"> get to know the organi</w:t>
      </w:r>
      <w:r w:rsidR="0067487F" w:rsidRPr="000207FE">
        <w:t>s</w:t>
      </w:r>
      <w:r w:rsidR="0082695E" w:rsidRPr="000207FE">
        <w:t>ation;</w:t>
      </w:r>
    </w:p>
    <w:p w14:paraId="5A3A1D93" w14:textId="25348A64" w:rsidR="006A1753" w:rsidRPr="000207FE" w:rsidRDefault="006A1753" w:rsidP="007074BE">
      <w:pPr>
        <w:pStyle w:val="MPLParagraphlevel2"/>
      </w:pPr>
      <w:r w:rsidRPr="000207FE">
        <w:t>work collaboratively with the employee to</w:t>
      </w:r>
      <w:r w:rsidR="00CA5135" w:rsidRPr="000207FE">
        <w:t xml:space="preserve"> discuss the position description and</w:t>
      </w:r>
      <w:r w:rsidRPr="000207FE">
        <w:t xml:space="preserve"> establish</w:t>
      </w:r>
      <w:r w:rsidR="006369E7" w:rsidRPr="000207FE">
        <w:t xml:space="preserve"> </w:t>
      </w:r>
      <w:r w:rsidR="00746951" w:rsidRPr="000207FE">
        <w:t xml:space="preserve">clearly defined </w:t>
      </w:r>
      <w:r w:rsidR="00295209" w:rsidRPr="000207FE">
        <w:t>performance expectations and goals</w:t>
      </w:r>
      <w:r w:rsidR="000068C0" w:rsidRPr="000207FE">
        <w:t xml:space="preserve"> for the role;</w:t>
      </w:r>
    </w:p>
    <w:p w14:paraId="49C9DB67" w14:textId="282BB015" w:rsidR="00FC2AAD" w:rsidRPr="000207FE" w:rsidRDefault="00FA17A8" w:rsidP="007074BE">
      <w:pPr>
        <w:pStyle w:val="MPLParagraphlevel2"/>
      </w:pPr>
      <w:r w:rsidRPr="000207FE">
        <w:lastRenderedPageBreak/>
        <w:t xml:space="preserve">engage the employee </w:t>
      </w:r>
      <w:r w:rsidR="0072610A" w:rsidRPr="000207FE">
        <w:t xml:space="preserve">in understanding and </w:t>
      </w:r>
      <w:r w:rsidR="0024250E" w:rsidRPr="000207FE">
        <w:t xml:space="preserve">establishing </w:t>
      </w:r>
      <w:r w:rsidR="000333A9" w:rsidRPr="000207FE">
        <w:t xml:space="preserve">any necessary requirements </w:t>
      </w:r>
      <w:r w:rsidR="00C50CDA" w:rsidRPr="000207FE">
        <w:t xml:space="preserve">under the relevant </w:t>
      </w:r>
      <w:r w:rsidR="0006379B" w:rsidRPr="000207FE">
        <w:t xml:space="preserve">performance </w:t>
      </w:r>
      <w:r w:rsidR="00007A3B" w:rsidRPr="000207FE">
        <w:t xml:space="preserve">review and development </w:t>
      </w:r>
      <w:r w:rsidR="00F56899" w:rsidRPr="000207FE">
        <w:t xml:space="preserve">framework </w:t>
      </w:r>
      <w:r w:rsidR="009A0F18" w:rsidRPr="000207FE">
        <w:t xml:space="preserve">(including for new academic employees </w:t>
      </w:r>
      <w:r w:rsidR="009F4543" w:rsidRPr="000207FE">
        <w:t xml:space="preserve">any requirements </w:t>
      </w:r>
      <w:r w:rsidR="00593EE1" w:rsidRPr="000207FE">
        <w:t>for Academi</w:t>
      </w:r>
      <w:r w:rsidR="005F0361" w:rsidRPr="000207FE">
        <w:t>c</w:t>
      </w:r>
      <w:r w:rsidR="00593EE1" w:rsidRPr="000207FE">
        <w:t xml:space="preserve"> Confirmation</w:t>
      </w:r>
      <w:r w:rsidR="005F0361" w:rsidRPr="000207FE">
        <w:t>);</w:t>
      </w:r>
    </w:p>
    <w:p w14:paraId="01F90B4D" w14:textId="28C4A393" w:rsidR="003B396C" w:rsidRPr="000207FE" w:rsidRDefault="003B396C" w:rsidP="007074BE">
      <w:pPr>
        <w:pStyle w:val="MPLParagraphlevel2"/>
      </w:pPr>
      <w:r w:rsidRPr="000207FE">
        <w:t xml:space="preserve">provide </w:t>
      </w:r>
      <w:r w:rsidR="00E65BD8" w:rsidRPr="000207FE">
        <w:t xml:space="preserve">necessary </w:t>
      </w:r>
      <w:r w:rsidRPr="000207FE">
        <w:t xml:space="preserve">training and professional development to support the employee undertaking the role; </w:t>
      </w:r>
    </w:p>
    <w:p w14:paraId="7BDA8441" w14:textId="6D7FBD89" w:rsidR="00D73E68" w:rsidRPr="00593BDD" w:rsidRDefault="007C1225" w:rsidP="00D103CC">
      <w:pPr>
        <w:pStyle w:val="MPLParagraphlevel2"/>
      </w:pPr>
      <w:r w:rsidRPr="000207FE">
        <w:t xml:space="preserve">meet with the employee to provide timely feedback on how they are progressing and (where needed) </w:t>
      </w:r>
      <w:r w:rsidR="00D22577" w:rsidRPr="000207FE">
        <w:t xml:space="preserve">progress </w:t>
      </w:r>
      <w:r w:rsidR="004E4DC5" w:rsidRPr="000207FE">
        <w:t>agree</w:t>
      </w:r>
      <w:r w:rsidR="00812A09" w:rsidRPr="000207FE">
        <w:t>d actions</w:t>
      </w:r>
      <w:r w:rsidRPr="000207FE">
        <w:t xml:space="preserve"> and support for the employee to improve their performance</w:t>
      </w:r>
      <w:r w:rsidR="0082695E" w:rsidRPr="000207FE">
        <w:t>.</w:t>
      </w:r>
    </w:p>
    <w:p w14:paraId="20DBD488" w14:textId="77777777" w:rsidR="00D73E68" w:rsidRPr="000207FE" w:rsidRDefault="002F6F94" w:rsidP="000207FE">
      <w:pPr>
        <w:pStyle w:val="MPLNoNumberingHeadings"/>
      </w:pPr>
      <w:r w:rsidRPr="000207FE">
        <w:t xml:space="preserve">RELATED DOCUMENTS </w:t>
      </w:r>
    </w:p>
    <w:p w14:paraId="68DDAE8F" w14:textId="200EB956" w:rsidR="005728C2" w:rsidRPr="000207FE" w:rsidRDefault="00000000" w:rsidP="00172E23">
      <w:pPr>
        <w:pStyle w:val="MPLParapgrah"/>
      </w:pPr>
      <w:hyperlink r:id="rId13" w:history="1">
        <w:r w:rsidR="0088175C" w:rsidRPr="000207FE">
          <w:rPr>
            <w:rStyle w:val="Hyperlink"/>
          </w:rPr>
          <w:t>University of Melbourne Enterprise Agreement 2024</w:t>
        </w:r>
      </w:hyperlink>
      <w:r w:rsidR="0088175C" w:rsidRPr="000207FE">
        <w:rPr>
          <w:color w:val="0000EE"/>
          <w:u w:val="single"/>
        </w:rPr>
        <w:t xml:space="preserve"> </w:t>
      </w:r>
    </w:p>
    <w:p w14:paraId="434F4FBA" w14:textId="4D00A0B6" w:rsidR="00D73E68" w:rsidRPr="000207FE" w:rsidRDefault="005728C2" w:rsidP="00172E23">
      <w:pPr>
        <w:pStyle w:val="MPLParapgrah"/>
      </w:pPr>
      <w:r w:rsidRPr="000207FE">
        <w:t>Recruitment and Appointment Policy (</w:t>
      </w:r>
      <w:hyperlink r:id="rId14" w:history="1">
        <w:r w:rsidRPr="000207FE">
          <w:rPr>
            <w:rStyle w:val="Hyperlink"/>
          </w:rPr>
          <w:t>MPF1152</w:t>
        </w:r>
      </w:hyperlink>
      <w:r w:rsidRPr="000207FE">
        <w:t>)</w:t>
      </w:r>
    </w:p>
    <w:p w14:paraId="5E4B9CCD" w14:textId="77777777" w:rsidR="00D73E68" w:rsidRPr="000207FE" w:rsidRDefault="002F6F94" w:rsidP="000207FE">
      <w:pPr>
        <w:pStyle w:val="MPLNoNumberingHeadings"/>
      </w:pPr>
      <w:r w:rsidRPr="000207FE">
        <w:t xml:space="preserve">RESPONSIBLE OFFICER </w:t>
      </w:r>
    </w:p>
    <w:p w14:paraId="15CB54B8" w14:textId="5912833E" w:rsidR="00D73E68" w:rsidRPr="000207FE" w:rsidRDefault="002F6F94" w:rsidP="00172E23">
      <w:pPr>
        <w:pStyle w:val="MPLParapgrah"/>
      </w:pPr>
      <w:r w:rsidRPr="000207FE">
        <w:t xml:space="preserve">The </w:t>
      </w:r>
      <w:r w:rsidR="00977A0C" w:rsidRPr="000207FE">
        <w:t>Chief People Officer</w:t>
      </w:r>
      <w:r w:rsidRPr="000207FE">
        <w:t xml:space="preserve"> is responsible for the development, compliance</w:t>
      </w:r>
      <w:r w:rsidR="001424F6" w:rsidRPr="000207FE">
        <w:t>,</w:t>
      </w:r>
      <w:r w:rsidRPr="000207FE">
        <w:t xml:space="preserve"> monitoring and review of this procedure and any associated guidelines. </w:t>
      </w:r>
    </w:p>
    <w:p w14:paraId="347DCE11" w14:textId="77777777" w:rsidR="00D73E68" w:rsidRPr="000207FE" w:rsidRDefault="002F6F94" w:rsidP="000207FE">
      <w:pPr>
        <w:pStyle w:val="MPLNoNumberingHeadings"/>
      </w:pPr>
      <w:r w:rsidRPr="000207FE">
        <w:t xml:space="preserve">IMPLEMENTATION OFFICER </w:t>
      </w:r>
    </w:p>
    <w:p w14:paraId="595736FE" w14:textId="6516A02C" w:rsidR="00D73E68" w:rsidRPr="000207FE" w:rsidRDefault="002F6F94" w:rsidP="00172E23">
      <w:pPr>
        <w:pStyle w:val="MPLParapgrah"/>
      </w:pPr>
      <w:r w:rsidRPr="000207FE">
        <w:t xml:space="preserve">The </w:t>
      </w:r>
      <w:r w:rsidR="009B15F6" w:rsidRPr="000207FE">
        <w:t>Executive</w:t>
      </w:r>
      <w:r w:rsidR="00D02A1E" w:rsidRPr="000207FE">
        <w:t xml:space="preserve"> Director</w:t>
      </w:r>
      <w:r w:rsidRPr="000207FE">
        <w:t xml:space="preserve">, </w:t>
      </w:r>
      <w:r w:rsidR="00D02A1E" w:rsidRPr="000207FE">
        <w:t>Workplace Relations</w:t>
      </w:r>
      <w:r w:rsidR="008C31B4" w:rsidRPr="000207FE">
        <w:t>, Governance</w:t>
      </w:r>
      <w:r w:rsidRPr="000207FE">
        <w:t>,</w:t>
      </w:r>
      <w:r w:rsidR="008C31B4" w:rsidRPr="000207FE">
        <w:t xml:space="preserve"> and Investigations</w:t>
      </w:r>
      <w:r w:rsidRPr="000207FE">
        <w:t xml:space="preserve"> is responsible for the promulgation and implementation of this procedure in accordance with the scope outlined above. Enquiries about interpretation of this procedure should be directed to the implementation officer. </w:t>
      </w:r>
    </w:p>
    <w:p w14:paraId="01E59FCB" w14:textId="77777777" w:rsidR="00D73E68" w:rsidRPr="000207FE" w:rsidRDefault="002F6F94" w:rsidP="000207FE">
      <w:pPr>
        <w:pStyle w:val="MPLNoNumberingHeadings"/>
      </w:pPr>
      <w:r w:rsidRPr="000207FE">
        <w:t xml:space="preserve">REVIEW </w:t>
      </w:r>
    </w:p>
    <w:p w14:paraId="234D28EB" w14:textId="58EAFD06" w:rsidR="00D73E68" w:rsidRPr="000207FE" w:rsidRDefault="002F6F94" w:rsidP="00E21DBD">
      <w:pPr>
        <w:pStyle w:val="MPLParapgrah"/>
      </w:pPr>
      <w:r w:rsidRPr="000207FE">
        <w:t xml:space="preserve">This procedure </w:t>
      </w:r>
      <w:r w:rsidR="000D0358">
        <w:t xml:space="preserve">is due </w:t>
      </w:r>
      <w:r w:rsidRPr="000207FE">
        <w:t xml:space="preserve">to be reviewed by </w:t>
      </w:r>
      <w:r w:rsidR="003E41E6" w:rsidRPr="000207FE">
        <w:t>2 September 2027.</w:t>
      </w:r>
    </w:p>
    <w:p>
      <w:pPr>
        <w:pStyle w:val="Heading2"/>
      </w:pPr>
      <w:r/>
      <w:r>
        <w:rPr>
          <w:b/>
        </w:rPr>
        <w:t xml:space="preserve">VERSION HISTORY </w:t>
      </w:r>
      <w:r/>
      <w:r/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994"/>
        <w:gridCol w:w="1994"/>
        <w:gridCol w:w="1994"/>
        <w:gridCol w:w="1994"/>
        <w:gridCol w:w="1994"/>
      </w:tblGrid>
      <w:tr>
        <w:tc>
          <w:tcPr>
            <w:tcW w:type="dxa" w:w="1994"/>
          </w:tcPr>
          <w:p>
            <w:r>
              <w:rPr>
                <w:b/>
              </w:rPr>
              <w:t xml:space="preserve">Version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Approved By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Approval Date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Effective Date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Sections Modified </w:t>
            </w:r>
          </w:p>
        </w:tc>
      </w:tr>
      <w:tr>
        <w:tc>
          <w:tcPr>
            <w:tcW w:type="dxa" w:w="1994"/>
          </w:tcPr>
          <w:p>
            <w:r>
              <w:t xml:space="preserve">1 </w:t>
            </w:r>
          </w:p>
        </w:tc>
        <w:tc>
          <w:tcPr>
            <w:tcW w:type="dxa" w:w="1994"/>
          </w:tcPr>
          <w:p>
            <w:r>
              <w:t xml:space="preserve">Senior Vice-Principal </w:t>
            </w:r>
          </w:p>
        </w:tc>
        <w:tc>
          <w:tcPr>
            <w:tcW w:type="dxa" w:w="1994"/>
          </w:tcPr>
          <w:p>
            <w:r>
              <w:t xml:space="preserve">21 August 2012 </w:t>
            </w:r>
          </w:p>
        </w:tc>
        <w:tc>
          <w:tcPr>
            <w:tcW w:type="dxa" w:w="1994"/>
          </w:tcPr>
          <w:p>
            <w:r>
              <w:t xml:space="preserve">21 August 2012 </w:t>
            </w:r>
          </w:p>
        </w:tc>
        <w:tc>
          <w:tcPr>
            <w:tcW w:type="dxa" w:w="1994"/>
          </w:tcPr>
          <w:p>
            <w:r>
              <w:t xml:space="preserve">New version arising from the Policy Simplification Project. Loaded into MPL as Version 1. </w:t>
            </w:r>
          </w:p>
        </w:tc>
      </w:tr>
      <w:tr>
        <w:tc>
          <w:tcPr>
            <w:tcW w:type="dxa" w:w="1994"/>
          </w:tcPr>
          <w:p>
            <w:r>
              <w:t xml:space="preserve">2 </w:t>
            </w:r>
          </w:p>
        </w:tc>
        <w:tc>
          <w:tcPr>
            <w:tcW w:type="dxa" w:w="1994"/>
          </w:tcPr>
          <w:p>
            <w:r>
              <w:t xml:space="preserve">Senior Vice-Principal </w:t>
            </w:r>
          </w:p>
        </w:tc>
        <w:tc>
          <w:tcPr>
            <w:tcW w:type="dxa" w:w="1994"/>
          </w:tcPr>
          <w:p>
            <w:r>
              <w:t xml:space="preserve">6 June 2013 </w:t>
            </w:r>
          </w:p>
        </w:tc>
        <w:tc>
          <w:tcPr>
            <w:tcW w:type="dxa" w:w="1994"/>
          </w:tcPr>
          <w:p>
            <w:r>
              <w:t xml:space="preserve">6 June 2013 </w:t>
            </w:r>
          </w:p>
        </w:tc>
        <w:tc>
          <w:tcPr>
            <w:tcW w:type="dxa" w:w="1994"/>
          </w:tcPr>
          <w:p>
            <w:r>
              <w:t xml:space="preserve">Addition of new sections 5.2. and 6.2. and consequential renumbering within sections 5 and 6. </w:t>
            </w:r>
          </w:p>
        </w:tc>
      </w:tr>
      <w:tr>
        <w:tc>
          <w:tcPr>
            <w:tcW w:type="dxa" w:w="1994"/>
          </w:tcPr>
          <w:p>
            <w:r>
              <w:t xml:space="preserve">3 </w:t>
            </w:r>
          </w:p>
        </w:tc>
        <w:tc>
          <w:tcPr>
            <w:tcW w:type="dxa" w:w="1994"/>
          </w:tcPr>
          <w:p>
            <w:r>
              <w:t xml:space="preserve">Vice-Principal Administration and Financeon behalf of Senior Vice-Principal </w:t>
            </w:r>
          </w:p>
        </w:tc>
        <w:tc>
          <w:tcPr>
            <w:tcW w:type="dxa" w:w="1994"/>
          </w:tcPr>
          <w:p>
            <w:r>
              <w:t xml:space="preserve">22 May 2014 </w:t>
            </w:r>
          </w:p>
        </w:tc>
        <w:tc>
          <w:tcPr>
            <w:tcW w:type="dxa" w:w="1994"/>
          </w:tcPr>
          <w:p>
            <w:r>
              <w:t xml:space="preserve">22 May 2014 </w:t>
            </w:r>
          </w:p>
        </w:tc>
        <w:tc>
          <w:tcPr>
            <w:tcW w:type="dxa" w:w="1994"/>
          </w:tcPr>
          <w:p>
            <w:r>
              <w:t xml:space="preserve">Links to 'Guidelines for Consideration of Performance Relative to Opportunity' updated. </w:t>
            </w:r>
          </w:p>
        </w:tc>
      </w:tr>
      <w:tr>
        <w:tc>
          <w:tcPr>
            <w:tcW w:type="dxa" w:w="1994"/>
          </w:tcPr>
          <w:p>
            <w:r>
              <w:t xml:space="preserve">4 </w:t>
            </w:r>
          </w:p>
        </w:tc>
        <w:tc>
          <w:tcPr>
            <w:tcW w:type="dxa" w:w="1994"/>
          </w:tcPr>
          <w:p>
            <w:r>
              <w:t xml:space="preserve">Vice-Principal Administration and Finance </w:t>
            </w:r>
          </w:p>
        </w:tc>
        <w:tc>
          <w:tcPr>
            <w:tcW w:type="dxa" w:w="1994"/>
          </w:tcPr>
          <w:p>
            <w:r>
              <w:t xml:space="preserve">3 March 2016 </w:t>
            </w:r>
          </w:p>
        </w:tc>
        <w:tc>
          <w:tcPr>
            <w:tcW w:type="dxa" w:w="1994"/>
          </w:tcPr>
          <w:p>
            <w:r>
              <w:t xml:space="preserve">3 March 2016 </w:t>
            </w:r>
          </w:p>
        </w:tc>
        <w:tc>
          <w:tcPr>
            <w:tcW w:type="dxa" w:w="1994"/>
          </w:tcPr>
          <w:p>
            <w:r>
              <w:t xml:space="preserve">Fix broken hyperlinks. </w:t>
            </w:r>
          </w:p>
        </w:tc>
      </w:tr>
      <w:tr>
        <w:tc>
          <w:tcPr>
            <w:tcW w:type="dxa" w:w="1994"/>
          </w:tcPr>
          <w:p>
            <w:r>
              <w:t xml:space="preserve">5 </w:t>
            </w:r>
          </w:p>
        </w:tc>
        <w:tc>
          <w:tcPr>
            <w:tcW w:type="dxa" w:w="1994"/>
          </w:tcPr>
          <w:p>
            <w:r>
              <w:t xml:space="preserve">Chief People Officer </w:t>
            </w:r>
          </w:p>
        </w:tc>
        <w:tc>
          <w:tcPr>
            <w:tcW w:type="dxa" w:w="1994"/>
          </w:tcPr>
          <w:p>
            <w:r>
              <w:t xml:space="preserve">2 September 2024 </w:t>
            </w:r>
          </w:p>
        </w:tc>
        <w:tc>
          <w:tcPr>
            <w:tcW w:type="dxa" w:w="1994"/>
          </w:tcPr>
          <w:p>
            <w:r>
              <w:t xml:space="preserve">4 September 2024 </w:t>
            </w:r>
          </w:p>
        </w:tc>
        <w:tc>
          <w:tcPr>
            <w:tcW w:type="dxa" w:w="1994"/>
          </w:tcPr>
          <w:p>
            <w:r/>
          </w:p>
          <w:p>
            <w:r/>
            <w:r/>
            <w:r>
              <w:rPr>
                <w:color w:val="000000"/>
                <w:highlight w:val="lightGray"/>
              </w:rPr>
              <w:t xml:space="preserve">Updated to align with Enterprise Agreement 2024 and removed sections related to academic confirmation which is sufficiently captured in Academic Appointment, Performance and Promotion Policy ( </w:t>
            </w:r>
            <w:r/>
            <w:hyperlink r:id="rId18">
              <w:r>
                <w:rPr>
                  <w:color w:val="0000EE"/>
                  <w:u w:val="single"/>
                </w:rPr>
              </w:r>
            </w:hyperlink>
            <w:hyperlink r:id="rId18">
              <w:r>
                <w:rPr>
                  <w:color w:val="0000EE"/>
                  <w:u w:val="single"/>
                </w:rPr>
              </w:r>
            </w:hyperlink>
            <w:hyperlink r:id="rId18">
              <w:r>
                <w:rPr>
                  <w:color w:val="0000EE"/>
                  <w:u w:val="single"/>
                </w:rPr>
                <w:t xml:space="preserve">MPF1299 </w:t>
              </w:r>
            </w:hyperlink>
            <w:hyperlink r:id="rId18">
              <w:r>
                <w:rPr>
                  <w:color w:val="0000EE"/>
                  <w:u w:val="single"/>
                </w:rPr>
              </w:r>
            </w:hyperlink>
            <w:hyperlink r:id="rId18">
              <w:r>
                <w:rPr>
                  <w:color w:val="0000EE"/>
                  <w:u w:val="single"/>
                </w:rPr>
              </w:r>
            </w:hyperlink>
            <w:r/>
            <w:r>
              <w:rPr>
                <w:color w:val="000000"/>
                <w:highlight w:val="lightGray"/>
              </w:rPr>
              <w:t xml:space="preserve">). </w:t>
            </w:r>
            <w:r/>
            <w:r/>
          </w:p>
        </w:tc>
      </w:tr>
    </w:tbl>
    <w:p>
      <w:r/>
    </w:p>
    <w:sectPr w:rsidR="00D73E68" w:rsidRPr="000207FE" w:rsidSect="00034616">
      <w:footerReference w:type="default" r:id="rId15"/>
      <w:pgSz w:w="12240" w:h="15840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69A7F" w14:textId="77777777" w:rsidR="00094CF3" w:rsidRDefault="00094CF3">
      <w:pPr>
        <w:spacing w:after="0" w:line="240" w:lineRule="auto"/>
      </w:pPr>
      <w:r>
        <w:separator/>
      </w:r>
    </w:p>
  </w:endnote>
  <w:endnote w:type="continuationSeparator" w:id="0">
    <w:p w14:paraId="0E07AF20" w14:textId="77777777" w:rsidR="00094CF3" w:rsidRDefault="00094CF3">
      <w:pPr>
        <w:spacing w:after="0" w:line="240" w:lineRule="auto"/>
      </w:pPr>
      <w:r>
        <w:continuationSeparator/>
      </w:r>
    </w:p>
  </w:endnote>
  <w:endnote w:type="continuationNotice" w:id="1">
    <w:p w14:paraId="49958BB9" w14:textId="77777777" w:rsidR="00094CF3" w:rsidRDefault="00094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6E5B" w14:textId="77777777" w:rsidR="00D73E68" w:rsidRDefault="002F6F94"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127F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127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DA74" w14:textId="77777777" w:rsidR="00094CF3" w:rsidRDefault="00094CF3">
      <w:pPr>
        <w:spacing w:after="0" w:line="240" w:lineRule="auto"/>
      </w:pPr>
      <w:r>
        <w:separator/>
      </w:r>
    </w:p>
  </w:footnote>
  <w:footnote w:type="continuationSeparator" w:id="0">
    <w:p w14:paraId="36E38D8C" w14:textId="77777777" w:rsidR="00094CF3" w:rsidRDefault="00094CF3">
      <w:pPr>
        <w:spacing w:after="0" w:line="240" w:lineRule="auto"/>
      </w:pPr>
      <w:r>
        <w:continuationSeparator/>
      </w:r>
    </w:p>
  </w:footnote>
  <w:footnote w:type="continuationNotice" w:id="1">
    <w:p w14:paraId="4508B095" w14:textId="77777777" w:rsidR="00094CF3" w:rsidRDefault="00094C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6B66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8341A2"/>
    <w:multiLevelType w:val="hybridMultilevel"/>
    <w:tmpl w:val="4052D994"/>
    <w:lvl w:ilvl="0" w:tplc="9B823F54">
      <w:start w:val="1"/>
      <w:numFmt w:val="decimal"/>
      <w:lvlText w:val="%1."/>
      <w:lvlJc w:val="left"/>
      <w:pPr>
        <w:ind w:left="1020" w:hanging="360"/>
      </w:pPr>
    </w:lvl>
    <w:lvl w:ilvl="1" w:tplc="F4FC1A66">
      <w:start w:val="1"/>
      <w:numFmt w:val="decimal"/>
      <w:lvlText w:val="%2."/>
      <w:lvlJc w:val="left"/>
      <w:pPr>
        <w:ind w:left="1020" w:hanging="360"/>
      </w:pPr>
    </w:lvl>
    <w:lvl w:ilvl="2" w:tplc="09A417D2">
      <w:start w:val="1"/>
      <w:numFmt w:val="decimal"/>
      <w:lvlText w:val="%3."/>
      <w:lvlJc w:val="left"/>
      <w:pPr>
        <w:ind w:left="1020" w:hanging="360"/>
      </w:pPr>
    </w:lvl>
    <w:lvl w:ilvl="3" w:tplc="272631E4">
      <w:start w:val="1"/>
      <w:numFmt w:val="decimal"/>
      <w:lvlText w:val="%4."/>
      <w:lvlJc w:val="left"/>
      <w:pPr>
        <w:ind w:left="1020" w:hanging="360"/>
      </w:pPr>
    </w:lvl>
    <w:lvl w:ilvl="4" w:tplc="5BEE3508">
      <w:start w:val="1"/>
      <w:numFmt w:val="decimal"/>
      <w:lvlText w:val="%5."/>
      <w:lvlJc w:val="left"/>
      <w:pPr>
        <w:ind w:left="1020" w:hanging="360"/>
      </w:pPr>
    </w:lvl>
    <w:lvl w:ilvl="5" w:tplc="01707FE6">
      <w:start w:val="1"/>
      <w:numFmt w:val="decimal"/>
      <w:lvlText w:val="%6."/>
      <w:lvlJc w:val="left"/>
      <w:pPr>
        <w:ind w:left="1020" w:hanging="360"/>
      </w:pPr>
    </w:lvl>
    <w:lvl w:ilvl="6" w:tplc="055AD0AA">
      <w:start w:val="1"/>
      <w:numFmt w:val="decimal"/>
      <w:lvlText w:val="%7."/>
      <w:lvlJc w:val="left"/>
      <w:pPr>
        <w:ind w:left="1020" w:hanging="360"/>
      </w:pPr>
    </w:lvl>
    <w:lvl w:ilvl="7" w:tplc="A6A8FC7E">
      <w:start w:val="1"/>
      <w:numFmt w:val="decimal"/>
      <w:lvlText w:val="%8."/>
      <w:lvlJc w:val="left"/>
      <w:pPr>
        <w:ind w:left="1020" w:hanging="360"/>
      </w:pPr>
    </w:lvl>
    <w:lvl w:ilvl="8" w:tplc="290E70E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19E47756"/>
    <w:multiLevelType w:val="hybridMultilevel"/>
    <w:tmpl w:val="CF2669E6"/>
    <w:lvl w:ilvl="0" w:tplc="0BB46B2A">
      <w:start w:val="1"/>
      <w:numFmt w:val="decimal"/>
      <w:lvlText w:val="%1."/>
      <w:lvlJc w:val="left"/>
      <w:pPr>
        <w:ind w:left="1020" w:hanging="360"/>
      </w:pPr>
    </w:lvl>
    <w:lvl w:ilvl="1" w:tplc="929E45EC">
      <w:start w:val="1"/>
      <w:numFmt w:val="decimal"/>
      <w:lvlText w:val="%2."/>
      <w:lvlJc w:val="left"/>
      <w:pPr>
        <w:ind w:left="1020" w:hanging="360"/>
      </w:pPr>
    </w:lvl>
    <w:lvl w:ilvl="2" w:tplc="D84C692E">
      <w:start w:val="1"/>
      <w:numFmt w:val="decimal"/>
      <w:lvlText w:val="%3."/>
      <w:lvlJc w:val="left"/>
      <w:pPr>
        <w:ind w:left="1020" w:hanging="360"/>
      </w:pPr>
    </w:lvl>
    <w:lvl w:ilvl="3" w:tplc="70D61F7C">
      <w:start w:val="1"/>
      <w:numFmt w:val="decimal"/>
      <w:lvlText w:val="%4."/>
      <w:lvlJc w:val="left"/>
      <w:pPr>
        <w:ind w:left="1020" w:hanging="360"/>
      </w:pPr>
    </w:lvl>
    <w:lvl w:ilvl="4" w:tplc="4F642454">
      <w:start w:val="1"/>
      <w:numFmt w:val="decimal"/>
      <w:lvlText w:val="%5."/>
      <w:lvlJc w:val="left"/>
      <w:pPr>
        <w:ind w:left="1020" w:hanging="360"/>
      </w:pPr>
    </w:lvl>
    <w:lvl w:ilvl="5" w:tplc="26828CEE">
      <w:start w:val="1"/>
      <w:numFmt w:val="decimal"/>
      <w:lvlText w:val="%6."/>
      <w:lvlJc w:val="left"/>
      <w:pPr>
        <w:ind w:left="1020" w:hanging="360"/>
      </w:pPr>
    </w:lvl>
    <w:lvl w:ilvl="6" w:tplc="FA24C4FE">
      <w:start w:val="1"/>
      <w:numFmt w:val="decimal"/>
      <w:lvlText w:val="%7."/>
      <w:lvlJc w:val="left"/>
      <w:pPr>
        <w:ind w:left="1020" w:hanging="360"/>
      </w:pPr>
    </w:lvl>
    <w:lvl w:ilvl="7" w:tplc="E158A824">
      <w:start w:val="1"/>
      <w:numFmt w:val="decimal"/>
      <w:lvlText w:val="%8."/>
      <w:lvlJc w:val="left"/>
      <w:pPr>
        <w:ind w:left="1020" w:hanging="360"/>
      </w:pPr>
    </w:lvl>
    <w:lvl w:ilvl="8" w:tplc="16562C0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1F7D245D"/>
    <w:multiLevelType w:val="hybridMultilevel"/>
    <w:tmpl w:val="9B105264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4D407A"/>
    <w:multiLevelType w:val="multilevel"/>
    <w:tmpl w:val="B982638A"/>
    <w:lvl w:ilvl="0">
      <w:start w:val="1"/>
      <w:numFmt w:val="decimal"/>
      <w:pStyle w:val="MPL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PLParagraphlevel1"/>
      <w:suff w:val="space"/>
      <w:lvlText w:val="%1.%2."/>
      <w:lvlJc w:val="left"/>
      <w:pPr>
        <w:ind w:left="357" w:firstLine="3"/>
      </w:pPr>
      <w:rPr>
        <w:rFonts w:hint="default"/>
        <w:b w:val="0"/>
      </w:rPr>
    </w:lvl>
    <w:lvl w:ilvl="2">
      <w:start w:val="1"/>
      <w:numFmt w:val="lowerLetter"/>
      <w:pStyle w:val="MPLParagraphlevel2"/>
      <w:suff w:val="space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lowerRoman"/>
      <w:pStyle w:val="MPLParagraphlevel3"/>
      <w:suff w:val="space"/>
      <w:lvlText w:val="%4."/>
      <w:lvlJc w:val="left"/>
      <w:pPr>
        <w:ind w:left="1077" w:firstLine="3"/>
      </w:pPr>
      <w:rPr>
        <w:rFonts w:hint="default"/>
      </w:rPr>
    </w:lvl>
    <w:lvl w:ilvl="4">
      <w:start w:val="1"/>
      <w:numFmt w:val="bullet"/>
      <w:pStyle w:val="MPLParagraphlevel4"/>
      <w:suff w:val="space"/>
      <w:lvlText w:val=""/>
      <w:lvlJc w:val="left"/>
      <w:pPr>
        <w:ind w:left="1440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C53018"/>
    <w:multiLevelType w:val="hybridMultilevel"/>
    <w:tmpl w:val="83E0B0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A002C"/>
    <w:multiLevelType w:val="hybridMultilevel"/>
    <w:tmpl w:val="6DE8BE4C"/>
    <w:lvl w:ilvl="0" w:tplc="1A64B8EA">
      <w:start w:val="1"/>
      <w:numFmt w:val="decimal"/>
      <w:lvlText w:val="%1."/>
      <w:lvlJc w:val="left"/>
      <w:pPr>
        <w:ind w:left="1020" w:hanging="360"/>
      </w:pPr>
    </w:lvl>
    <w:lvl w:ilvl="1" w:tplc="568A6014">
      <w:start w:val="1"/>
      <w:numFmt w:val="decimal"/>
      <w:lvlText w:val="%2."/>
      <w:lvlJc w:val="left"/>
      <w:pPr>
        <w:ind w:left="1020" w:hanging="360"/>
      </w:pPr>
    </w:lvl>
    <w:lvl w:ilvl="2" w:tplc="5B2ACEC8">
      <w:start w:val="1"/>
      <w:numFmt w:val="decimal"/>
      <w:lvlText w:val="%3."/>
      <w:lvlJc w:val="left"/>
      <w:pPr>
        <w:ind w:left="1020" w:hanging="360"/>
      </w:pPr>
    </w:lvl>
    <w:lvl w:ilvl="3" w:tplc="7B026B60">
      <w:start w:val="1"/>
      <w:numFmt w:val="decimal"/>
      <w:lvlText w:val="%4."/>
      <w:lvlJc w:val="left"/>
      <w:pPr>
        <w:ind w:left="1020" w:hanging="360"/>
      </w:pPr>
    </w:lvl>
    <w:lvl w:ilvl="4" w:tplc="B3AC43E8">
      <w:start w:val="1"/>
      <w:numFmt w:val="decimal"/>
      <w:lvlText w:val="%5."/>
      <w:lvlJc w:val="left"/>
      <w:pPr>
        <w:ind w:left="1020" w:hanging="360"/>
      </w:pPr>
    </w:lvl>
    <w:lvl w:ilvl="5" w:tplc="87E619DA">
      <w:start w:val="1"/>
      <w:numFmt w:val="decimal"/>
      <w:lvlText w:val="%6."/>
      <w:lvlJc w:val="left"/>
      <w:pPr>
        <w:ind w:left="1020" w:hanging="360"/>
      </w:pPr>
    </w:lvl>
    <w:lvl w:ilvl="6" w:tplc="47501F5A">
      <w:start w:val="1"/>
      <w:numFmt w:val="decimal"/>
      <w:lvlText w:val="%7."/>
      <w:lvlJc w:val="left"/>
      <w:pPr>
        <w:ind w:left="1020" w:hanging="360"/>
      </w:pPr>
    </w:lvl>
    <w:lvl w:ilvl="7" w:tplc="292E4710">
      <w:start w:val="1"/>
      <w:numFmt w:val="decimal"/>
      <w:lvlText w:val="%8."/>
      <w:lvlJc w:val="left"/>
      <w:pPr>
        <w:ind w:left="1020" w:hanging="360"/>
      </w:pPr>
    </w:lvl>
    <w:lvl w:ilvl="8" w:tplc="C7DCF41E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44EA0528"/>
    <w:multiLevelType w:val="hybridMultilevel"/>
    <w:tmpl w:val="181080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B1E37"/>
    <w:multiLevelType w:val="hybridMultilevel"/>
    <w:tmpl w:val="83E0B0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254A2"/>
    <w:multiLevelType w:val="hybridMultilevel"/>
    <w:tmpl w:val="83E0B0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2303F"/>
    <w:multiLevelType w:val="hybridMultilevel"/>
    <w:tmpl w:val="300EEB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90929">
    <w:abstractNumId w:val="8"/>
  </w:num>
  <w:num w:numId="2" w16cid:durableId="327901970">
    <w:abstractNumId w:val="6"/>
  </w:num>
  <w:num w:numId="3" w16cid:durableId="1623421890">
    <w:abstractNumId w:val="5"/>
  </w:num>
  <w:num w:numId="4" w16cid:durableId="1799953555">
    <w:abstractNumId w:val="4"/>
  </w:num>
  <w:num w:numId="5" w16cid:durableId="831991941">
    <w:abstractNumId w:val="7"/>
  </w:num>
  <w:num w:numId="6" w16cid:durableId="578515427">
    <w:abstractNumId w:val="3"/>
  </w:num>
  <w:num w:numId="7" w16cid:durableId="265502500">
    <w:abstractNumId w:val="2"/>
  </w:num>
  <w:num w:numId="8" w16cid:durableId="2126387352">
    <w:abstractNumId w:val="1"/>
  </w:num>
  <w:num w:numId="9" w16cid:durableId="1761752045">
    <w:abstractNumId w:val="0"/>
  </w:num>
  <w:num w:numId="10" w16cid:durableId="1294140092">
    <w:abstractNumId w:val="11"/>
  </w:num>
  <w:num w:numId="11" w16cid:durableId="387001548">
    <w:abstractNumId w:val="15"/>
  </w:num>
  <w:num w:numId="12" w16cid:durableId="1965456160">
    <w:abstractNumId w:val="13"/>
  </w:num>
  <w:num w:numId="13" w16cid:durableId="1422990293">
    <w:abstractNumId w:val="18"/>
  </w:num>
  <w:num w:numId="14" w16cid:durableId="937374135">
    <w:abstractNumId w:val="8"/>
  </w:num>
  <w:num w:numId="15" w16cid:durableId="1437098683">
    <w:abstractNumId w:val="8"/>
  </w:num>
  <w:num w:numId="16" w16cid:durableId="1757744394">
    <w:abstractNumId w:val="16"/>
  </w:num>
  <w:num w:numId="17" w16cid:durableId="1247108004">
    <w:abstractNumId w:val="8"/>
  </w:num>
  <w:num w:numId="18" w16cid:durableId="304549152">
    <w:abstractNumId w:val="8"/>
  </w:num>
  <w:num w:numId="19" w16cid:durableId="469594522">
    <w:abstractNumId w:val="17"/>
  </w:num>
  <w:num w:numId="20" w16cid:durableId="1295523960">
    <w:abstractNumId w:val="9"/>
  </w:num>
  <w:num w:numId="21" w16cid:durableId="1932471407">
    <w:abstractNumId w:val="14"/>
  </w:num>
  <w:num w:numId="22" w16cid:durableId="1475680232">
    <w:abstractNumId w:val="10"/>
  </w:num>
  <w:num w:numId="23" w16cid:durableId="467361575">
    <w:abstractNumId w:val="12"/>
  </w:num>
  <w:num w:numId="24" w16cid:durableId="73473712">
    <w:abstractNumId w:val="12"/>
  </w:num>
  <w:num w:numId="25" w16cid:durableId="1774325797">
    <w:abstractNumId w:val="12"/>
  </w:num>
  <w:num w:numId="26" w16cid:durableId="1243566889">
    <w:abstractNumId w:val="12"/>
  </w:num>
  <w:num w:numId="27" w16cid:durableId="902789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E2D"/>
    <w:rsid w:val="00005123"/>
    <w:rsid w:val="00005433"/>
    <w:rsid w:val="000068C0"/>
    <w:rsid w:val="00006C44"/>
    <w:rsid w:val="00007A3B"/>
    <w:rsid w:val="000133DD"/>
    <w:rsid w:val="000207FE"/>
    <w:rsid w:val="000333A9"/>
    <w:rsid w:val="000333BE"/>
    <w:rsid w:val="000341BD"/>
    <w:rsid w:val="000341EF"/>
    <w:rsid w:val="00034616"/>
    <w:rsid w:val="00035548"/>
    <w:rsid w:val="00035F4D"/>
    <w:rsid w:val="00040187"/>
    <w:rsid w:val="00040E70"/>
    <w:rsid w:val="0004306E"/>
    <w:rsid w:val="00043545"/>
    <w:rsid w:val="00045D77"/>
    <w:rsid w:val="00050D0E"/>
    <w:rsid w:val="00051961"/>
    <w:rsid w:val="0005435A"/>
    <w:rsid w:val="00055104"/>
    <w:rsid w:val="0006063C"/>
    <w:rsid w:val="0006379B"/>
    <w:rsid w:val="00064760"/>
    <w:rsid w:val="000736BE"/>
    <w:rsid w:val="00074542"/>
    <w:rsid w:val="00074ABA"/>
    <w:rsid w:val="000902A9"/>
    <w:rsid w:val="000911D8"/>
    <w:rsid w:val="00094CF3"/>
    <w:rsid w:val="00096359"/>
    <w:rsid w:val="000970A3"/>
    <w:rsid w:val="00097891"/>
    <w:rsid w:val="000A05E8"/>
    <w:rsid w:val="000A6B62"/>
    <w:rsid w:val="000B3668"/>
    <w:rsid w:val="000B69FA"/>
    <w:rsid w:val="000B70C5"/>
    <w:rsid w:val="000C6C67"/>
    <w:rsid w:val="000D0358"/>
    <w:rsid w:val="000D3032"/>
    <w:rsid w:val="000E03F9"/>
    <w:rsid w:val="000E2366"/>
    <w:rsid w:val="000E266C"/>
    <w:rsid w:val="000E2721"/>
    <w:rsid w:val="000F7E0F"/>
    <w:rsid w:val="00105EE3"/>
    <w:rsid w:val="0010766E"/>
    <w:rsid w:val="00107DD8"/>
    <w:rsid w:val="00113A9A"/>
    <w:rsid w:val="00123245"/>
    <w:rsid w:val="00124C9B"/>
    <w:rsid w:val="00132F97"/>
    <w:rsid w:val="001346D5"/>
    <w:rsid w:val="001423EB"/>
    <w:rsid w:val="001424F6"/>
    <w:rsid w:val="00144B8A"/>
    <w:rsid w:val="0015074B"/>
    <w:rsid w:val="001532A8"/>
    <w:rsid w:val="00154BC0"/>
    <w:rsid w:val="00156695"/>
    <w:rsid w:val="001611A9"/>
    <w:rsid w:val="00161CED"/>
    <w:rsid w:val="00167514"/>
    <w:rsid w:val="00170C0A"/>
    <w:rsid w:val="00172E23"/>
    <w:rsid w:val="00175687"/>
    <w:rsid w:val="00177D1D"/>
    <w:rsid w:val="00177E78"/>
    <w:rsid w:val="00183EFE"/>
    <w:rsid w:val="00184018"/>
    <w:rsid w:val="00195843"/>
    <w:rsid w:val="001C0BAB"/>
    <w:rsid w:val="001C2F71"/>
    <w:rsid w:val="001C371E"/>
    <w:rsid w:val="001C6329"/>
    <w:rsid w:val="001D0044"/>
    <w:rsid w:val="001D0D6C"/>
    <w:rsid w:val="001D1B7F"/>
    <w:rsid w:val="001D3A99"/>
    <w:rsid w:val="001D48E6"/>
    <w:rsid w:val="001D57EC"/>
    <w:rsid w:val="001E5888"/>
    <w:rsid w:val="001F41C3"/>
    <w:rsid w:val="001F6651"/>
    <w:rsid w:val="00203672"/>
    <w:rsid w:val="00204BE4"/>
    <w:rsid w:val="00205DEA"/>
    <w:rsid w:val="00207F26"/>
    <w:rsid w:val="00213EFF"/>
    <w:rsid w:val="00214CD0"/>
    <w:rsid w:val="00217890"/>
    <w:rsid w:val="002204FE"/>
    <w:rsid w:val="00221645"/>
    <w:rsid w:val="002228BE"/>
    <w:rsid w:val="00224690"/>
    <w:rsid w:val="00237A14"/>
    <w:rsid w:val="00240691"/>
    <w:rsid w:val="0024250E"/>
    <w:rsid w:val="0024260C"/>
    <w:rsid w:val="00251AB1"/>
    <w:rsid w:val="0025742D"/>
    <w:rsid w:val="00257722"/>
    <w:rsid w:val="00257D25"/>
    <w:rsid w:val="00261205"/>
    <w:rsid w:val="00263430"/>
    <w:rsid w:val="00264400"/>
    <w:rsid w:val="00266FB4"/>
    <w:rsid w:val="0026718F"/>
    <w:rsid w:val="00272950"/>
    <w:rsid w:val="0027565F"/>
    <w:rsid w:val="0028099B"/>
    <w:rsid w:val="00282B20"/>
    <w:rsid w:val="002841CD"/>
    <w:rsid w:val="00290B4E"/>
    <w:rsid w:val="00295209"/>
    <w:rsid w:val="0029639D"/>
    <w:rsid w:val="002A4ED7"/>
    <w:rsid w:val="002A5B79"/>
    <w:rsid w:val="002B3E1B"/>
    <w:rsid w:val="002B5CAB"/>
    <w:rsid w:val="002C3803"/>
    <w:rsid w:val="002C68B1"/>
    <w:rsid w:val="002D16DF"/>
    <w:rsid w:val="002D3A26"/>
    <w:rsid w:val="002E3909"/>
    <w:rsid w:val="002F2872"/>
    <w:rsid w:val="002F6F94"/>
    <w:rsid w:val="002F76D1"/>
    <w:rsid w:val="0030205B"/>
    <w:rsid w:val="003021C3"/>
    <w:rsid w:val="00303F35"/>
    <w:rsid w:val="00305CF0"/>
    <w:rsid w:val="003079E9"/>
    <w:rsid w:val="00316C7F"/>
    <w:rsid w:val="003177D1"/>
    <w:rsid w:val="00317838"/>
    <w:rsid w:val="00317EC0"/>
    <w:rsid w:val="00320258"/>
    <w:rsid w:val="00326F90"/>
    <w:rsid w:val="0033043C"/>
    <w:rsid w:val="00330F0F"/>
    <w:rsid w:val="0033446F"/>
    <w:rsid w:val="003349DB"/>
    <w:rsid w:val="00337F3E"/>
    <w:rsid w:val="0034192B"/>
    <w:rsid w:val="00345192"/>
    <w:rsid w:val="00353343"/>
    <w:rsid w:val="00361A96"/>
    <w:rsid w:val="00364145"/>
    <w:rsid w:val="00366DB4"/>
    <w:rsid w:val="003706FC"/>
    <w:rsid w:val="00371E44"/>
    <w:rsid w:val="003730F7"/>
    <w:rsid w:val="003901E3"/>
    <w:rsid w:val="00394A92"/>
    <w:rsid w:val="003A34E6"/>
    <w:rsid w:val="003A5077"/>
    <w:rsid w:val="003B396C"/>
    <w:rsid w:val="003B4C05"/>
    <w:rsid w:val="003C5B37"/>
    <w:rsid w:val="003C6459"/>
    <w:rsid w:val="003D00A3"/>
    <w:rsid w:val="003D1A60"/>
    <w:rsid w:val="003E41E6"/>
    <w:rsid w:val="003E5042"/>
    <w:rsid w:val="003E5CC3"/>
    <w:rsid w:val="003E6A01"/>
    <w:rsid w:val="003F2289"/>
    <w:rsid w:val="003F6036"/>
    <w:rsid w:val="004014BB"/>
    <w:rsid w:val="00407B6D"/>
    <w:rsid w:val="00413F7F"/>
    <w:rsid w:val="0042356C"/>
    <w:rsid w:val="00425517"/>
    <w:rsid w:val="004358CE"/>
    <w:rsid w:val="004429E7"/>
    <w:rsid w:val="00444F29"/>
    <w:rsid w:val="00451069"/>
    <w:rsid w:val="004538C5"/>
    <w:rsid w:val="0045477B"/>
    <w:rsid w:val="00466C34"/>
    <w:rsid w:val="00472AD1"/>
    <w:rsid w:val="00473D98"/>
    <w:rsid w:val="00474DBA"/>
    <w:rsid w:val="00475B66"/>
    <w:rsid w:val="00477C2B"/>
    <w:rsid w:val="00481916"/>
    <w:rsid w:val="004904FC"/>
    <w:rsid w:val="00491F0B"/>
    <w:rsid w:val="0049458B"/>
    <w:rsid w:val="004A2A3B"/>
    <w:rsid w:val="004A385A"/>
    <w:rsid w:val="004B0348"/>
    <w:rsid w:val="004B1557"/>
    <w:rsid w:val="004B2D11"/>
    <w:rsid w:val="004B3ECB"/>
    <w:rsid w:val="004B3F6B"/>
    <w:rsid w:val="004B6BAE"/>
    <w:rsid w:val="004B734A"/>
    <w:rsid w:val="004B7DE0"/>
    <w:rsid w:val="004C3D7C"/>
    <w:rsid w:val="004D05D0"/>
    <w:rsid w:val="004D09EF"/>
    <w:rsid w:val="004D0ACC"/>
    <w:rsid w:val="004D2E41"/>
    <w:rsid w:val="004E15D8"/>
    <w:rsid w:val="004E2729"/>
    <w:rsid w:val="004E4DC5"/>
    <w:rsid w:val="004E6591"/>
    <w:rsid w:val="004E6836"/>
    <w:rsid w:val="004F1191"/>
    <w:rsid w:val="004F3E0D"/>
    <w:rsid w:val="004F6656"/>
    <w:rsid w:val="004F6940"/>
    <w:rsid w:val="0050218F"/>
    <w:rsid w:val="00503DB9"/>
    <w:rsid w:val="00505E45"/>
    <w:rsid w:val="005061BC"/>
    <w:rsid w:val="00506671"/>
    <w:rsid w:val="0051190C"/>
    <w:rsid w:val="00516628"/>
    <w:rsid w:val="0051752D"/>
    <w:rsid w:val="00521CD3"/>
    <w:rsid w:val="0052258A"/>
    <w:rsid w:val="0052283B"/>
    <w:rsid w:val="0052780C"/>
    <w:rsid w:val="00527E6B"/>
    <w:rsid w:val="00531635"/>
    <w:rsid w:val="005369DF"/>
    <w:rsid w:val="00542D10"/>
    <w:rsid w:val="00542FD0"/>
    <w:rsid w:val="005512E5"/>
    <w:rsid w:val="00563D1E"/>
    <w:rsid w:val="00571C98"/>
    <w:rsid w:val="005728C2"/>
    <w:rsid w:val="00572B24"/>
    <w:rsid w:val="00581F37"/>
    <w:rsid w:val="00583425"/>
    <w:rsid w:val="005864FB"/>
    <w:rsid w:val="00590467"/>
    <w:rsid w:val="005910FA"/>
    <w:rsid w:val="00593988"/>
    <w:rsid w:val="00593BDD"/>
    <w:rsid w:val="00593EE1"/>
    <w:rsid w:val="00596EB9"/>
    <w:rsid w:val="005A0A16"/>
    <w:rsid w:val="005A1A10"/>
    <w:rsid w:val="005A23D9"/>
    <w:rsid w:val="005C6BBC"/>
    <w:rsid w:val="005C7A15"/>
    <w:rsid w:val="005D05E9"/>
    <w:rsid w:val="005D1C80"/>
    <w:rsid w:val="005D3F6B"/>
    <w:rsid w:val="005D411C"/>
    <w:rsid w:val="005D414B"/>
    <w:rsid w:val="005D5674"/>
    <w:rsid w:val="005E2377"/>
    <w:rsid w:val="005E41C1"/>
    <w:rsid w:val="005F0361"/>
    <w:rsid w:val="005F4981"/>
    <w:rsid w:val="00604F81"/>
    <w:rsid w:val="00606E52"/>
    <w:rsid w:val="0060747F"/>
    <w:rsid w:val="00607A01"/>
    <w:rsid w:val="00607B71"/>
    <w:rsid w:val="00615099"/>
    <w:rsid w:val="00627DA6"/>
    <w:rsid w:val="006332DA"/>
    <w:rsid w:val="006369E7"/>
    <w:rsid w:val="00636EA2"/>
    <w:rsid w:val="00647B8D"/>
    <w:rsid w:val="00647D8D"/>
    <w:rsid w:val="00655F10"/>
    <w:rsid w:val="00656CC5"/>
    <w:rsid w:val="0065740F"/>
    <w:rsid w:val="00660E30"/>
    <w:rsid w:val="00661B78"/>
    <w:rsid w:val="00661F07"/>
    <w:rsid w:val="00663899"/>
    <w:rsid w:val="00663B21"/>
    <w:rsid w:val="00663E9E"/>
    <w:rsid w:val="00664762"/>
    <w:rsid w:val="00665ED3"/>
    <w:rsid w:val="00666746"/>
    <w:rsid w:val="00667212"/>
    <w:rsid w:val="00667B4F"/>
    <w:rsid w:val="0067487F"/>
    <w:rsid w:val="00677576"/>
    <w:rsid w:val="00684FCC"/>
    <w:rsid w:val="006908B3"/>
    <w:rsid w:val="00690D3E"/>
    <w:rsid w:val="0069276B"/>
    <w:rsid w:val="00692928"/>
    <w:rsid w:val="006954FD"/>
    <w:rsid w:val="006A1753"/>
    <w:rsid w:val="006A3FB5"/>
    <w:rsid w:val="006B3866"/>
    <w:rsid w:val="006B68C9"/>
    <w:rsid w:val="006B6CAD"/>
    <w:rsid w:val="006C1F8C"/>
    <w:rsid w:val="006C5233"/>
    <w:rsid w:val="006D0C38"/>
    <w:rsid w:val="006D1DDF"/>
    <w:rsid w:val="006D2A9B"/>
    <w:rsid w:val="006D4823"/>
    <w:rsid w:val="006D6757"/>
    <w:rsid w:val="006F2746"/>
    <w:rsid w:val="006F3345"/>
    <w:rsid w:val="007058E8"/>
    <w:rsid w:val="007074BE"/>
    <w:rsid w:val="007143DB"/>
    <w:rsid w:val="00715DC3"/>
    <w:rsid w:val="007171FE"/>
    <w:rsid w:val="007219B7"/>
    <w:rsid w:val="0072610A"/>
    <w:rsid w:val="0072617E"/>
    <w:rsid w:val="00731B68"/>
    <w:rsid w:val="00732B16"/>
    <w:rsid w:val="00734B09"/>
    <w:rsid w:val="00734F77"/>
    <w:rsid w:val="00737031"/>
    <w:rsid w:val="00740A59"/>
    <w:rsid w:val="00742602"/>
    <w:rsid w:val="007437B0"/>
    <w:rsid w:val="00745ADC"/>
    <w:rsid w:val="00746951"/>
    <w:rsid w:val="0075327B"/>
    <w:rsid w:val="00762400"/>
    <w:rsid w:val="00763E5B"/>
    <w:rsid w:val="007646FC"/>
    <w:rsid w:val="00773C87"/>
    <w:rsid w:val="007765AD"/>
    <w:rsid w:val="0078095F"/>
    <w:rsid w:val="00787CF0"/>
    <w:rsid w:val="007904B5"/>
    <w:rsid w:val="00794D80"/>
    <w:rsid w:val="007A014E"/>
    <w:rsid w:val="007A1245"/>
    <w:rsid w:val="007B07AA"/>
    <w:rsid w:val="007B28DA"/>
    <w:rsid w:val="007B6F09"/>
    <w:rsid w:val="007C1225"/>
    <w:rsid w:val="007C2895"/>
    <w:rsid w:val="007C51CE"/>
    <w:rsid w:val="007C7DCA"/>
    <w:rsid w:val="007D37FE"/>
    <w:rsid w:val="007D7B1C"/>
    <w:rsid w:val="007F0744"/>
    <w:rsid w:val="007F26ED"/>
    <w:rsid w:val="008009B8"/>
    <w:rsid w:val="00801169"/>
    <w:rsid w:val="00803EF8"/>
    <w:rsid w:val="00804180"/>
    <w:rsid w:val="00804AEE"/>
    <w:rsid w:val="008073FB"/>
    <w:rsid w:val="00812A09"/>
    <w:rsid w:val="00812DE0"/>
    <w:rsid w:val="00814783"/>
    <w:rsid w:val="00815249"/>
    <w:rsid w:val="00817F94"/>
    <w:rsid w:val="008252B2"/>
    <w:rsid w:val="0082695E"/>
    <w:rsid w:val="00830BAC"/>
    <w:rsid w:val="008322B8"/>
    <w:rsid w:val="0083377F"/>
    <w:rsid w:val="00837ADA"/>
    <w:rsid w:val="00847FA6"/>
    <w:rsid w:val="00853FC5"/>
    <w:rsid w:val="00864B76"/>
    <w:rsid w:val="00866ABD"/>
    <w:rsid w:val="008723FE"/>
    <w:rsid w:val="008749B5"/>
    <w:rsid w:val="0087758A"/>
    <w:rsid w:val="0088139A"/>
    <w:rsid w:val="0088175C"/>
    <w:rsid w:val="00883FE0"/>
    <w:rsid w:val="0089025E"/>
    <w:rsid w:val="00890FA5"/>
    <w:rsid w:val="00891FAA"/>
    <w:rsid w:val="00893656"/>
    <w:rsid w:val="008A1792"/>
    <w:rsid w:val="008A617A"/>
    <w:rsid w:val="008A6DE7"/>
    <w:rsid w:val="008A7828"/>
    <w:rsid w:val="008B25D2"/>
    <w:rsid w:val="008B643C"/>
    <w:rsid w:val="008C0796"/>
    <w:rsid w:val="008C31B4"/>
    <w:rsid w:val="008C701E"/>
    <w:rsid w:val="008C7ACF"/>
    <w:rsid w:val="008D1D65"/>
    <w:rsid w:val="008D4FF2"/>
    <w:rsid w:val="008D56D8"/>
    <w:rsid w:val="008D5DCC"/>
    <w:rsid w:val="008D7DD6"/>
    <w:rsid w:val="008E30DB"/>
    <w:rsid w:val="008E5A08"/>
    <w:rsid w:val="00901E40"/>
    <w:rsid w:val="00902F54"/>
    <w:rsid w:val="0090307F"/>
    <w:rsid w:val="00904FCC"/>
    <w:rsid w:val="00915B1D"/>
    <w:rsid w:val="009225EE"/>
    <w:rsid w:val="00923250"/>
    <w:rsid w:val="009317A7"/>
    <w:rsid w:val="00933384"/>
    <w:rsid w:val="00933972"/>
    <w:rsid w:val="009342E9"/>
    <w:rsid w:val="00934AE1"/>
    <w:rsid w:val="00936054"/>
    <w:rsid w:val="00950FF1"/>
    <w:rsid w:val="009527E4"/>
    <w:rsid w:val="00952C1E"/>
    <w:rsid w:val="00952D01"/>
    <w:rsid w:val="0095509A"/>
    <w:rsid w:val="00966463"/>
    <w:rsid w:val="00967007"/>
    <w:rsid w:val="009706C8"/>
    <w:rsid w:val="009752F6"/>
    <w:rsid w:val="009759E5"/>
    <w:rsid w:val="00977915"/>
    <w:rsid w:val="00977A0C"/>
    <w:rsid w:val="00983674"/>
    <w:rsid w:val="00983B63"/>
    <w:rsid w:val="009856C0"/>
    <w:rsid w:val="009871A5"/>
    <w:rsid w:val="00987657"/>
    <w:rsid w:val="00990D8C"/>
    <w:rsid w:val="009952FC"/>
    <w:rsid w:val="009A0F18"/>
    <w:rsid w:val="009A1FFC"/>
    <w:rsid w:val="009A3DB5"/>
    <w:rsid w:val="009A5A09"/>
    <w:rsid w:val="009A5A44"/>
    <w:rsid w:val="009A7C52"/>
    <w:rsid w:val="009B15F6"/>
    <w:rsid w:val="009B5671"/>
    <w:rsid w:val="009C11C6"/>
    <w:rsid w:val="009D1EC7"/>
    <w:rsid w:val="009D3731"/>
    <w:rsid w:val="009D52AD"/>
    <w:rsid w:val="009E038C"/>
    <w:rsid w:val="009E111D"/>
    <w:rsid w:val="009E1EE6"/>
    <w:rsid w:val="009E3067"/>
    <w:rsid w:val="009F4543"/>
    <w:rsid w:val="009F5803"/>
    <w:rsid w:val="009F7763"/>
    <w:rsid w:val="00A05D3A"/>
    <w:rsid w:val="00A072EC"/>
    <w:rsid w:val="00A07D86"/>
    <w:rsid w:val="00A131A2"/>
    <w:rsid w:val="00A13F26"/>
    <w:rsid w:val="00A22C53"/>
    <w:rsid w:val="00A23DB0"/>
    <w:rsid w:val="00A27F94"/>
    <w:rsid w:val="00A32012"/>
    <w:rsid w:val="00A42BC3"/>
    <w:rsid w:val="00A473F3"/>
    <w:rsid w:val="00A56024"/>
    <w:rsid w:val="00A63BE9"/>
    <w:rsid w:val="00A65D24"/>
    <w:rsid w:val="00A65F42"/>
    <w:rsid w:val="00A703AD"/>
    <w:rsid w:val="00A82620"/>
    <w:rsid w:val="00A87A7A"/>
    <w:rsid w:val="00A96BFD"/>
    <w:rsid w:val="00AA1D8D"/>
    <w:rsid w:val="00AA53BB"/>
    <w:rsid w:val="00AA7A5D"/>
    <w:rsid w:val="00AB0196"/>
    <w:rsid w:val="00AB4D25"/>
    <w:rsid w:val="00AC10FD"/>
    <w:rsid w:val="00AC3C6D"/>
    <w:rsid w:val="00AC41A7"/>
    <w:rsid w:val="00AC49E7"/>
    <w:rsid w:val="00AC6E9E"/>
    <w:rsid w:val="00AC70D5"/>
    <w:rsid w:val="00AD0080"/>
    <w:rsid w:val="00AD6EB9"/>
    <w:rsid w:val="00AE0348"/>
    <w:rsid w:val="00AE2B8C"/>
    <w:rsid w:val="00AE4804"/>
    <w:rsid w:val="00AE67CB"/>
    <w:rsid w:val="00AE7DD0"/>
    <w:rsid w:val="00AF0FA9"/>
    <w:rsid w:val="00AF4099"/>
    <w:rsid w:val="00B00B29"/>
    <w:rsid w:val="00B01325"/>
    <w:rsid w:val="00B014E8"/>
    <w:rsid w:val="00B01A8D"/>
    <w:rsid w:val="00B01BCD"/>
    <w:rsid w:val="00B11A64"/>
    <w:rsid w:val="00B12951"/>
    <w:rsid w:val="00B144BB"/>
    <w:rsid w:val="00B2056D"/>
    <w:rsid w:val="00B2396F"/>
    <w:rsid w:val="00B24512"/>
    <w:rsid w:val="00B25E6E"/>
    <w:rsid w:val="00B2685E"/>
    <w:rsid w:val="00B26E43"/>
    <w:rsid w:val="00B27E20"/>
    <w:rsid w:val="00B30F1B"/>
    <w:rsid w:val="00B341A6"/>
    <w:rsid w:val="00B379F9"/>
    <w:rsid w:val="00B43B2F"/>
    <w:rsid w:val="00B44BEC"/>
    <w:rsid w:val="00B4681D"/>
    <w:rsid w:val="00B47730"/>
    <w:rsid w:val="00B52DB4"/>
    <w:rsid w:val="00B561E4"/>
    <w:rsid w:val="00B6767E"/>
    <w:rsid w:val="00B67F4B"/>
    <w:rsid w:val="00B851CD"/>
    <w:rsid w:val="00B87545"/>
    <w:rsid w:val="00B94565"/>
    <w:rsid w:val="00BA6401"/>
    <w:rsid w:val="00BA6DB7"/>
    <w:rsid w:val="00BA7AF8"/>
    <w:rsid w:val="00BB1FFE"/>
    <w:rsid w:val="00BB23A9"/>
    <w:rsid w:val="00BB40CA"/>
    <w:rsid w:val="00BB6C84"/>
    <w:rsid w:val="00BB7012"/>
    <w:rsid w:val="00BC1D40"/>
    <w:rsid w:val="00BD02F3"/>
    <w:rsid w:val="00BD2C2E"/>
    <w:rsid w:val="00BD2CEA"/>
    <w:rsid w:val="00BD6E8A"/>
    <w:rsid w:val="00BE0063"/>
    <w:rsid w:val="00BE0519"/>
    <w:rsid w:val="00BE11C6"/>
    <w:rsid w:val="00BE5115"/>
    <w:rsid w:val="00BE6228"/>
    <w:rsid w:val="00BE7932"/>
    <w:rsid w:val="00BF20AD"/>
    <w:rsid w:val="00BF370A"/>
    <w:rsid w:val="00BF3E4E"/>
    <w:rsid w:val="00BF7BC0"/>
    <w:rsid w:val="00C0085C"/>
    <w:rsid w:val="00C0211C"/>
    <w:rsid w:val="00C050EE"/>
    <w:rsid w:val="00C05702"/>
    <w:rsid w:val="00C06B86"/>
    <w:rsid w:val="00C146EC"/>
    <w:rsid w:val="00C20FEC"/>
    <w:rsid w:val="00C2251E"/>
    <w:rsid w:val="00C23676"/>
    <w:rsid w:val="00C24578"/>
    <w:rsid w:val="00C25E16"/>
    <w:rsid w:val="00C27093"/>
    <w:rsid w:val="00C325C8"/>
    <w:rsid w:val="00C328DA"/>
    <w:rsid w:val="00C32BF4"/>
    <w:rsid w:val="00C335B6"/>
    <w:rsid w:val="00C43223"/>
    <w:rsid w:val="00C459C3"/>
    <w:rsid w:val="00C50CDA"/>
    <w:rsid w:val="00C557D0"/>
    <w:rsid w:val="00C56DDB"/>
    <w:rsid w:val="00C7610E"/>
    <w:rsid w:val="00C80C8A"/>
    <w:rsid w:val="00C87549"/>
    <w:rsid w:val="00C9062B"/>
    <w:rsid w:val="00C92C0C"/>
    <w:rsid w:val="00CA4374"/>
    <w:rsid w:val="00CA5135"/>
    <w:rsid w:val="00CA777B"/>
    <w:rsid w:val="00CB0664"/>
    <w:rsid w:val="00CC0127"/>
    <w:rsid w:val="00CC3800"/>
    <w:rsid w:val="00CC5391"/>
    <w:rsid w:val="00CD00E5"/>
    <w:rsid w:val="00CE0224"/>
    <w:rsid w:val="00CE30E2"/>
    <w:rsid w:val="00CE56D2"/>
    <w:rsid w:val="00CF1E3E"/>
    <w:rsid w:val="00CF6D39"/>
    <w:rsid w:val="00D00356"/>
    <w:rsid w:val="00D02A1E"/>
    <w:rsid w:val="00D103CC"/>
    <w:rsid w:val="00D10884"/>
    <w:rsid w:val="00D165C5"/>
    <w:rsid w:val="00D17279"/>
    <w:rsid w:val="00D22577"/>
    <w:rsid w:val="00D27AEF"/>
    <w:rsid w:val="00D32D52"/>
    <w:rsid w:val="00D3541A"/>
    <w:rsid w:val="00D41FFD"/>
    <w:rsid w:val="00D55CC6"/>
    <w:rsid w:val="00D6202F"/>
    <w:rsid w:val="00D621CE"/>
    <w:rsid w:val="00D63E33"/>
    <w:rsid w:val="00D6576E"/>
    <w:rsid w:val="00D738D7"/>
    <w:rsid w:val="00D73E68"/>
    <w:rsid w:val="00D74B47"/>
    <w:rsid w:val="00D80415"/>
    <w:rsid w:val="00D90DAE"/>
    <w:rsid w:val="00D91A71"/>
    <w:rsid w:val="00DA1B4C"/>
    <w:rsid w:val="00DA4ED5"/>
    <w:rsid w:val="00DA5E11"/>
    <w:rsid w:val="00DA70C0"/>
    <w:rsid w:val="00DB0883"/>
    <w:rsid w:val="00DB08AB"/>
    <w:rsid w:val="00DB0F78"/>
    <w:rsid w:val="00DB203C"/>
    <w:rsid w:val="00DB274A"/>
    <w:rsid w:val="00DB3D91"/>
    <w:rsid w:val="00DC09B6"/>
    <w:rsid w:val="00DC5A33"/>
    <w:rsid w:val="00DD25BD"/>
    <w:rsid w:val="00DE0922"/>
    <w:rsid w:val="00DE19BB"/>
    <w:rsid w:val="00DE3CB9"/>
    <w:rsid w:val="00DE66F4"/>
    <w:rsid w:val="00DE741F"/>
    <w:rsid w:val="00DF3D65"/>
    <w:rsid w:val="00DF4EDD"/>
    <w:rsid w:val="00E016EC"/>
    <w:rsid w:val="00E027F2"/>
    <w:rsid w:val="00E04943"/>
    <w:rsid w:val="00E10EB4"/>
    <w:rsid w:val="00E114B5"/>
    <w:rsid w:val="00E127F3"/>
    <w:rsid w:val="00E12BA7"/>
    <w:rsid w:val="00E17C2A"/>
    <w:rsid w:val="00E2133E"/>
    <w:rsid w:val="00E21DBD"/>
    <w:rsid w:val="00E235F8"/>
    <w:rsid w:val="00E32274"/>
    <w:rsid w:val="00E32648"/>
    <w:rsid w:val="00E372D2"/>
    <w:rsid w:val="00E437E0"/>
    <w:rsid w:val="00E5131F"/>
    <w:rsid w:val="00E52E27"/>
    <w:rsid w:val="00E55333"/>
    <w:rsid w:val="00E63676"/>
    <w:rsid w:val="00E65BD8"/>
    <w:rsid w:val="00E8011A"/>
    <w:rsid w:val="00E83A5A"/>
    <w:rsid w:val="00E85EEA"/>
    <w:rsid w:val="00EA097E"/>
    <w:rsid w:val="00EA0D46"/>
    <w:rsid w:val="00EA7858"/>
    <w:rsid w:val="00EB3CC0"/>
    <w:rsid w:val="00EB6CA2"/>
    <w:rsid w:val="00EC1464"/>
    <w:rsid w:val="00EC3B85"/>
    <w:rsid w:val="00EC7940"/>
    <w:rsid w:val="00ED4F89"/>
    <w:rsid w:val="00ED5D69"/>
    <w:rsid w:val="00ED6410"/>
    <w:rsid w:val="00EE1AA6"/>
    <w:rsid w:val="00EE3AE3"/>
    <w:rsid w:val="00EE528E"/>
    <w:rsid w:val="00EE5E02"/>
    <w:rsid w:val="00EF2EC4"/>
    <w:rsid w:val="00EF3A9A"/>
    <w:rsid w:val="00EF648C"/>
    <w:rsid w:val="00F029D6"/>
    <w:rsid w:val="00F02F55"/>
    <w:rsid w:val="00F03EFB"/>
    <w:rsid w:val="00F15B69"/>
    <w:rsid w:val="00F21EA5"/>
    <w:rsid w:val="00F22AB0"/>
    <w:rsid w:val="00F2529B"/>
    <w:rsid w:val="00F30AA0"/>
    <w:rsid w:val="00F347BA"/>
    <w:rsid w:val="00F35532"/>
    <w:rsid w:val="00F41BF3"/>
    <w:rsid w:val="00F457CC"/>
    <w:rsid w:val="00F50B3C"/>
    <w:rsid w:val="00F56899"/>
    <w:rsid w:val="00F63750"/>
    <w:rsid w:val="00F83A73"/>
    <w:rsid w:val="00F906BF"/>
    <w:rsid w:val="00F95FD2"/>
    <w:rsid w:val="00FA17A8"/>
    <w:rsid w:val="00FA2B55"/>
    <w:rsid w:val="00FB3B15"/>
    <w:rsid w:val="00FB49D7"/>
    <w:rsid w:val="00FB5D2D"/>
    <w:rsid w:val="00FC2AAD"/>
    <w:rsid w:val="00FC6577"/>
    <w:rsid w:val="00FC693F"/>
    <w:rsid w:val="00FC7015"/>
    <w:rsid w:val="00FD12E5"/>
    <w:rsid w:val="00FD27F2"/>
    <w:rsid w:val="00FE2A53"/>
    <w:rsid w:val="00FE4935"/>
    <w:rsid w:val="00FE6013"/>
    <w:rsid w:val="00FE750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455DB"/>
  <w14:defaultImageDpi w14:val="330"/>
  <w15:docId w15:val="{30E1FC26-DA93-42AE-9677-B1801AEF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ource Sans Pro" w:hAnsi="Source Sans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hAnsiTheme="majorHAnsi" w:cstheme="majorBidi" w:asciiTheme="Source Sans Pro"/>
      <w:b/>
      <w:bCs/>
      <w:color w:val="000F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hAnsiTheme="majorHAnsi" w:cstheme="majorBidi" w:asciiTheme="Source Sans Pro"/>
      <w:b/>
      <w:bCs/>
      <w:color w:val="000F4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hAnsiTheme="majorHAnsi" w:cstheme="majorBidi" w:asciiTheme="Source Sans Pro"/>
      <w:b/>
      <w:bCs/>
      <w:color w:val="000F4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hAnsiTheme="majorHAnsi" w:cstheme="majorBidi" w:asciiTheme="Source Sans Pro"/>
      <w:b/>
      <w:bCs/>
      <w:i/>
      <w:iCs/>
      <w:color w:val="000F4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hAnsiTheme="majorHAnsi" w:cstheme="majorBidi" w:asciiTheme="Source Sans Pro"/>
      <w:color w:val="000F4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hAnsiTheme="majorHAnsi" w:cstheme="majorBidi" w:asciiTheme="Source Sans Pro"/>
      <w:i/>
      <w:iCs/>
      <w:color w:val="000F4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6D6757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aliases w:val="MPL - Hyperlink"/>
    <w:basedOn w:val="DefaultParagraphFont"/>
    <w:uiPriority w:val="99"/>
    <w:unhideWhenUsed/>
    <w:qFormat/>
    <w:rsid w:val="00B23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9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1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2E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2E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2E5"/>
    <w:rPr>
      <w:rFonts w:ascii="Arial" w:hAnsi="Arial"/>
      <w:b/>
      <w:bCs/>
      <w:sz w:val="20"/>
      <w:szCs w:val="20"/>
    </w:rPr>
  </w:style>
  <w:style w:type="character" w:customStyle="1" w:styleId="cf01">
    <w:name w:val="cf01"/>
    <w:basedOn w:val="DefaultParagraphFont"/>
    <w:rsid w:val="00C146EC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561E4"/>
    <w:rPr>
      <w:color w:val="2B579A"/>
      <w:shd w:val="clear" w:color="auto" w:fill="E1DFDD"/>
    </w:rPr>
  </w:style>
  <w:style w:type="paragraph" w:customStyle="1" w:styleId="MPLParagraphlevel1">
    <w:name w:val="MPL Paragraph level 1"/>
    <w:basedOn w:val="ListParagraph"/>
    <w:qFormat/>
    <w:rsid w:val="002F76D1"/>
    <w:pPr>
      <w:numPr>
        <w:ilvl w:val="1"/>
        <w:numId w:val="23"/>
      </w:numPr>
      <w:spacing w:afterLines="50" w:after="120"/>
      <w:contextualSpacing w:val="0"/>
    </w:pPr>
    <w:rPr>
      <w:rFonts w:ascii="Source Sans Pro" w:hAnsi="Source Sans Pro" w:cs="Arial" w:asciiTheme="Source Sans Pro"/>
      <w:sz w:val="20"/>
    </w:rPr>
  </w:style>
  <w:style w:type="paragraph" w:customStyle="1" w:styleId="MPLHeading1">
    <w:name w:val="MPL Heading 1"/>
    <w:basedOn w:val="Heading2"/>
    <w:qFormat/>
    <w:rsid w:val="002F76D1"/>
    <w:pPr>
      <w:numPr>
        <w:numId w:val="23"/>
      </w:numPr>
      <w:spacing w:afterLines="50" w:after="120"/>
    </w:pPr>
    <w:rPr>
      <w:rFonts w:ascii="Source Sans Pro" w:hAnsi="Source Sans Pro" w:cs="Arial" w:asciiTheme="Source Sans Pro"/>
      <w:color w:val="000F46"/>
      <w:sz w:val="32"/>
    </w:rPr>
  </w:style>
  <w:style w:type="paragraph" w:customStyle="1" w:styleId="MPLParagraphlevel2">
    <w:name w:val="MPL Paragraph level 2"/>
    <w:basedOn w:val="ListParagraph"/>
    <w:qFormat/>
    <w:rsid w:val="002F76D1"/>
    <w:pPr>
      <w:numPr>
        <w:ilvl w:val="2"/>
        <w:numId w:val="23"/>
      </w:numPr>
      <w:tabs>
        <w:tab w:val="num" w:pos="360"/>
      </w:tabs>
    </w:pPr>
    <w:rPr>
      <w:rFonts w:ascii="Source Sans Pro" w:hAnsi="Source Sans Pro" w:cs="Arial" w:asciiTheme="Source Sans Pro"/>
      <w:sz w:val="20"/>
    </w:rPr>
  </w:style>
  <w:style w:type="paragraph" w:customStyle="1" w:styleId="MPLParagraphlevel3">
    <w:name w:val="MPL Paragraph level 3"/>
    <w:basedOn w:val="ListParagraph"/>
    <w:qFormat/>
    <w:rsid w:val="002F76D1"/>
    <w:pPr>
      <w:numPr>
        <w:ilvl w:val="3"/>
        <w:numId w:val="23"/>
      </w:numPr>
      <w:tabs>
        <w:tab w:val="num" w:pos="360"/>
      </w:tabs>
      <w:spacing w:before="120" w:after="120"/>
      <w:ind w:left="720" w:firstLine="6"/>
    </w:pPr>
    <w:rPr>
      <w:rFonts w:ascii="Source Sans Pro" w:hAnsi="Source Sans Pro" w:cs="Arial" w:asciiTheme="Source Sans Pro"/>
      <w:sz w:val="20"/>
    </w:rPr>
  </w:style>
  <w:style w:type="paragraph" w:customStyle="1" w:styleId="MPLParagraphlevel4">
    <w:name w:val="MPL Paragraph level 4"/>
    <w:basedOn w:val="ListParagraph"/>
    <w:qFormat/>
    <w:rsid w:val="002F76D1"/>
    <w:pPr>
      <w:numPr>
        <w:ilvl w:val="4"/>
        <w:numId w:val="23"/>
      </w:numPr>
      <w:tabs>
        <w:tab w:val="num" w:pos="360"/>
      </w:tabs>
      <w:spacing w:afterLines="50" w:after="120"/>
      <w:ind w:left="720"/>
    </w:pPr>
    <w:rPr>
      <w:rFonts w:ascii="Source Sans Pro" w:hAnsi="Source Sans Pro" w:cs="Arial" w:asciiTheme="Source Sans Pro"/>
      <w:sz w:val="20"/>
    </w:rPr>
  </w:style>
  <w:style w:type="paragraph" w:customStyle="1" w:styleId="MPFSubheading">
    <w:name w:val="MPF Subheading"/>
    <w:basedOn w:val="Heading3"/>
    <w:qFormat/>
    <w:rsid w:val="002F76D1"/>
    <w:pPr>
      <w:spacing w:afterLines="50" w:after="120"/>
    </w:pPr>
    <w:rPr>
      <w:rFonts w:ascii="Source Sans Pro" w:hAnsi="Source Sans Pro" w:cs="Arial" w:asciiTheme="Source Sans Pro"/>
      <w:color w:val="000F46"/>
      <w:sz w:val="28"/>
    </w:rPr>
  </w:style>
  <w:style w:type="paragraph" w:customStyle="1" w:styleId="MPLParapgrah">
    <w:name w:val="MPL Parapgrah"/>
    <w:basedOn w:val="Normal"/>
    <w:qFormat/>
    <w:rsid w:val="002F76D1"/>
    <w:rPr>
      <w:rFonts w:ascii="Source Sans Pro" w:hAnsi="Source Sans Pro" w:cs="Arial"/>
      <w:lang w:val="en-AU"/>
    </w:rPr>
  </w:style>
  <w:style w:type="paragraph" w:customStyle="1" w:styleId="MPLNoNumberingHeadings">
    <w:name w:val="MPL No Numbering Headings"/>
    <w:basedOn w:val="Heading2"/>
    <w:qFormat/>
    <w:rsid w:val="002F76D1"/>
    <w:rPr>
      <w:rFonts w:ascii="Source Sans Pro" w:hAnsi="Source Sans Pro" w:cs="Arial" w:asciiTheme="Source Sans Pro"/>
      <w:color w:val="000F46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F7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.unimelb.edu.au/human-resources/enterprise-agreement?tab=sala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ff.unimelb.edu.au/human-resources/enterprise-agreement?tab=sal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unimelb.edu.au/MPF115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unimelb.edu.au/MPF1152/" TargetMode="External"/><Relationship Id="rId18" Type="http://schemas.openxmlformats.org/officeDocument/2006/relationships/hyperlink" Target="https://policy.unimelb.edu.au/MPF1299/" TargetMode="External"/><Relationship Id="rId19" Type="http://schemas.openxmlformats.org/officeDocument/2006/relationships/hyperlink" Target="https://policy.unimelb.edu.au/category/Emplo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A969C521794DA824D88B0E2006B1" ma:contentTypeVersion="29" ma:contentTypeDescription="Create a new document." ma:contentTypeScope="" ma:versionID="a0298a58f2149d377e28ad6e07470bf3">
  <xsd:schema xmlns:xsd="http://www.w3.org/2001/XMLSchema" xmlns:xs="http://www.w3.org/2001/XMLSchema" xmlns:p="http://schemas.microsoft.com/office/2006/metadata/properties" xmlns:ns2="b8533b4b-9bb6-4318-b664-d221993361ce" xmlns:ns3="d9dd9277-f700-4f1b-9af6-6a2f3cbd77c8" targetNamespace="http://schemas.microsoft.com/office/2006/metadata/properties" ma:root="true" ma:fieldsID="e416560975a844347c417e7e5e0d6fe8" ns2:_="" ns3:_="">
    <xsd:import namespace="b8533b4b-9bb6-4318-b664-d221993361ce"/>
    <xsd:import namespace="d9dd9277-f700-4f1b-9af6-6a2f3cbd7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umber" minOccurs="0"/>
                <xsd:element ref="ns2:MediaServiceSearchProperties" minOccurs="0"/>
                <xsd:element ref="ns2:SNOWstatus" minOccurs="0"/>
                <xsd:element ref="ns2:SNOWAuthor" minOccurs="0"/>
                <xsd:element ref="ns2:Comments" minOccurs="0"/>
                <xsd:element ref="ns2:ClausesChecked" minOccurs="0"/>
                <xsd:element ref="ns2:PolicyLineAdded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3b4b-9bb6-4318-b664-d2219933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2" nillable="true" ma:displayName="Number" ma:format="Dropdown" ma:hidden="true" ma:internalName="Number" ma:readOnly="false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NOWstatus" ma:index="24" nillable="true" ma:displayName="SNOW status" ma:format="Dropdown" ma:hidden="true" ma:internalName="SNOWstatus" ma:readOnly="false">
      <xsd:simpleType>
        <xsd:restriction base="dms:Text">
          <xsd:maxLength value="255"/>
        </xsd:restriction>
      </xsd:simpleType>
    </xsd:element>
    <xsd:element name="SNOWAuthor" ma:index="25" nillable="true" ma:displayName="SNOW Author" ma:format="Dropdown" ma:hidden="true" ma:internalName="SNOWAuthor" ma:readOnly="false">
      <xsd:simpleType>
        <xsd:restriction base="dms:Text">
          <xsd:maxLength value="255"/>
        </xsd:restriction>
      </xsd:simpleType>
    </xsd:element>
    <xsd:element name="Comments" ma:index="26" nillable="true" ma:displayName="Comments" ma:format="Dropdown" ma:hidden="true" ma:internalName="Comments" ma:readOnly="false">
      <xsd:simpleType>
        <xsd:restriction base="dms:Text">
          <xsd:maxLength value="255"/>
        </xsd:restriction>
      </xsd:simpleType>
    </xsd:element>
    <xsd:element name="ClausesChecked" ma:index="27" nillable="true" ma:displayName="Clauses Checked" ma:default="0" ma:format="Dropdown" ma:hidden="true" ma:internalName="ClausesChecked" ma:readOnly="false">
      <xsd:simpleType>
        <xsd:restriction base="dms:Boolean"/>
      </xsd:simpleType>
    </xsd:element>
    <xsd:element name="PolicyLineAdded" ma:index="28" nillable="true" ma:displayName="Policy Line Added" ma:default="1" ma:format="Dropdown" ma:hidden="true" ma:internalName="PolicyLineAdded" ma:readOnly="false">
      <xsd:simpleType>
        <xsd:restriction base="dms:Boolean"/>
      </xsd:simpleType>
    </xsd:element>
    <xsd:element name="Notes" ma:index="3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9277-f700-4f1b-9af6-6a2f3cbd7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53c171e-17a3-485d-850b-c195037cfa47}" ma:internalName="TaxCatchAll" ma:readOnly="false" ma:showField="CatchAllData" ma:web="d9dd9277-f700-4f1b-9af6-6a2f3cbd7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b8533b4b-9bb6-4318-b664-d221993361ce" xsi:nil="true"/>
    <SNOWstatus xmlns="b8533b4b-9bb6-4318-b664-d221993361ce" xsi:nil="true"/>
    <lcf76f155ced4ddcb4097134ff3c332f xmlns="b8533b4b-9bb6-4318-b664-d221993361ce">
      <Terms xmlns="http://schemas.microsoft.com/office/infopath/2007/PartnerControls"/>
    </lcf76f155ced4ddcb4097134ff3c332f>
    <TaxCatchAll xmlns="d9dd9277-f700-4f1b-9af6-6a2f3cbd77c8" xsi:nil="true"/>
    <SNOWAuthor xmlns="b8533b4b-9bb6-4318-b664-d221993361ce" xsi:nil="true"/>
    <Comments xmlns="b8533b4b-9bb6-4318-b664-d221993361ce" xsi:nil="true"/>
    <ClausesChecked xmlns="b8533b4b-9bb6-4318-b664-d221993361ce">false</ClausesChecked>
    <PolicyLineAdded xmlns="b8533b4b-9bb6-4318-b664-d221993361ce">true</PolicyLineAdded>
    <Notes xmlns="b8533b4b-9bb6-4318-b664-d221993361ce" xsi:nil="true"/>
  </documentManagement>
</p:properties>
</file>

<file path=customXml/itemProps1.xml><?xml version="1.0" encoding="utf-8"?>
<ds:datastoreItem xmlns:ds="http://schemas.openxmlformats.org/officeDocument/2006/customXml" ds:itemID="{FF81C776-031E-4423-81DF-EDE0BA8FF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8447A7-835A-4EDB-806D-CD88C743D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33b4b-9bb6-4318-b664-d221993361ce"/>
    <ds:schemaRef ds:uri="d9dd9277-f700-4f1b-9af6-6a2f3cbd7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898CF-01BC-4F90-BDF5-3A5B382CCF3C}">
  <ds:schemaRefs>
    <ds:schemaRef ds:uri="http://schemas.microsoft.com/office/2006/metadata/properties"/>
    <ds:schemaRef ds:uri="http://schemas.microsoft.com/office/infopath/2007/PartnerControls"/>
    <ds:schemaRef ds:uri="b8533b4b-9bb6-4318-b664-d221993361ce"/>
    <ds:schemaRef ds:uri="d9dd9277-f700-4f1b-9af6-6a2f3cbd7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4663</CharactersWithSpaces>
  <SharedDoc>false</SharedDoc>
  <HyperlinkBase/>
  <HLinks>
    <vt:vector size="42" baseType="variant">
      <vt:variant>
        <vt:i4>3538977</vt:i4>
      </vt:variant>
      <vt:variant>
        <vt:i4>18</vt:i4>
      </vt:variant>
      <vt:variant>
        <vt:i4>0</vt:i4>
      </vt:variant>
      <vt:variant>
        <vt:i4>5</vt:i4>
      </vt:variant>
      <vt:variant>
        <vt:lpwstr>https://about.unimelb.edu.au/strategy/governance/regulatory-framework/legislative-framework</vt:lpwstr>
      </vt:variant>
      <vt:variant>
        <vt:lpwstr/>
      </vt:variant>
      <vt:variant>
        <vt:i4>3866682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https://www.legislation.vic.gov.au/in-force/acts/university-melbourne-act-2009/007</vt:lpwstr>
      </vt:variant>
      <vt:variant>
        <vt:lpwstr/>
      </vt:variant>
      <vt:variant>
        <vt:i4>8126575</vt:i4>
      </vt:variant>
      <vt:variant>
        <vt:i4>12</vt:i4>
      </vt:variant>
      <vt:variant>
        <vt:i4>0</vt:i4>
      </vt:variant>
      <vt:variant>
        <vt:i4>5</vt:i4>
      </vt:variant>
      <vt:variant>
        <vt:lpwstr>https://policy.unimelb.edu.au/MPF1299/</vt:lpwstr>
      </vt:variant>
      <vt:variant>
        <vt:lpwstr/>
      </vt:variant>
      <vt:variant>
        <vt:i4>7340135</vt:i4>
      </vt:variant>
      <vt:variant>
        <vt:i4>9</vt:i4>
      </vt:variant>
      <vt:variant>
        <vt:i4>0</vt:i4>
      </vt:variant>
      <vt:variant>
        <vt:i4>5</vt:i4>
      </vt:variant>
      <vt:variant>
        <vt:lpwstr>https://policy.unimelb.edu.au/MPF1152/</vt:lpwstr>
      </vt:variant>
      <vt:variant>
        <vt:lpwstr/>
      </vt:variant>
      <vt:variant>
        <vt:i4>524305</vt:i4>
      </vt:variant>
      <vt:variant>
        <vt:i4>6</vt:i4>
      </vt:variant>
      <vt:variant>
        <vt:i4>0</vt:i4>
      </vt:variant>
      <vt:variant>
        <vt:i4>5</vt:i4>
      </vt:variant>
      <vt:variant>
        <vt:lpwstr>https://staff.unimelb.edu.au/human-resources/enterprise-agreement?tab=salary</vt:lpwstr>
      </vt:variant>
      <vt:variant>
        <vt:lpwstr/>
      </vt:variant>
      <vt:variant>
        <vt:i4>7340135</vt:i4>
      </vt:variant>
      <vt:variant>
        <vt:i4>3</vt:i4>
      </vt:variant>
      <vt:variant>
        <vt:i4>0</vt:i4>
      </vt:variant>
      <vt:variant>
        <vt:i4>5</vt:i4>
      </vt:variant>
      <vt:variant>
        <vt:lpwstr>https://policy.unimelb.edu.au/MPF1152/</vt:lpwstr>
      </vt:variant>
      <vt:variant>
        <vt:lpwstr/>
      </vt:variant>
      <vt:variant>
        <vt:i4>7274539</vt:i4>
      </vt:variant>
      <vt:variant>
        <vt:i4>0</vt:i4>
      </vt:variant>
      <vt:variant>
        <vt:i4>0</vt:i4>
      </vt:variant>
      <vt:variant>
        <vt:i4>5</vt:i4>
      </vt:variant>
      <vt:variant>
        <vt:lpwstr>https://policy.unimelb.edu.au/category/Employment/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Felicity Hu</cp:lastModifiedBy>
  <cp:revision>241</cp:revision>
  <dcterms:created xsi:type="dcterms:W3CDTF">2024-08-27T18:45:00Z</dcterms:created>
  <dcterms:modified xsi:type="dcterms:W3CDTF">2024-09-04T04:24:00Z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0x0101003978A969C521794DA824D88B0E2006B1</vt:lpwstr>
  </property>
  <property fmtid="{D5CDD505-2E9C-101B-9397-08002B2CF9AE}" pid="3" name="MediaServiceImageTags">
    <vt:lpwstr/>
  </property>
  <property fmtid="{D5CDD505-2E9C-101B-9397-08002B2CF9AE}" pid="4" name="UpdatedinSNOW">
    <vt:bool>true</vt:bool>
  </property>
  <property fmtid="{D5CDD505-2E9C-101B-9397-08002B2CF9AE}" pid="5" name="Updated1.15.9">
    <vt:bool>true</vt:bool>
  </property>
  <property fmtid="{D5CDD505-2E9C-101B-9397-08002B2CF9AE}" pid="6" name="UpdateinSNOWlaunch?">
    <vt:bool>true</vt:bool>
  </property>
</Properties>
</file>