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Privacy Policy (MPF1104)</w:t>
      </w:r>
    </w:p>
    <w:p>
      <w:r/>
    </w:p>
    <w:p>
      <w:r>
        <w:rPr>
          <w:rFonts w:ascii="Source Sans Pro" w:hAnsi="Source Sans Pro"/>
          <w:b/>
          <w:sz w:val="20"/>
        </w:rPr>
        <w:t xml:space="preserve">Category: </w:t>
      </w:r>
      <w:r/>
      <w:hyperlink r:id="rId34">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9</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09 August, 2023</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28 November, 2023</w:t>
        <w:br/>
      </w:r>
      <w:r>
        <w:rPr>
          <w:rFonts w:ascii="Source Sans Pro" w:hAnsi="Source Sans Pro"/>
          <w:b/>
          <w:sz w:val="20"/>
        </w:rPr>
        <w:t xml:space="preserve">Review due by: </w:t>
      </w:r>
      <w:r>
        <w:rPr>
          <w:rFonts w:ascii="Source Sans Pro" w:hAnsi="Source Sans Pro"/>
          <w:sz w:val="20"/>
        </w:rPr>
        <w:t>11 March, 2021</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University Secretary</w:t>
        <w:br/>
      </w:r>
      <w:r>
        <w:rPr>
          <w:rFonts w:ascii="Source Sans Pro" w:hAnsi="Source Sans Pro"/>
          <w:b/>
          <w:sz w:val="20"/>
        </w:rPr>
        <w:t xml:space="preserve">Supporting Process: </w:t>
      </w:r>
      <w:r/>
      <w:r>
        <w:br/>
      </w:r>
      <w:hyperlink r:id="rId35">
        <w:r>
          <w:rPr>
            <w:color w:val="0000FF"/>
            <w:u w:val="single"/>
          </w:rPr>
          <w:t>Governance and Management Processes</w:t>
        </w:r>
      </w:hyperlink>
      <w:r/>
      <w:r>
        <w:br/>
      </w:r>
    </w:p>
    <w:p w14:paraId="542FA699" w14:textId="77777777" w:rsidR="00172409" w:rsidRPr="00B351B9" w:rsidRDefault="0078409A" w:rsidP="00172409">
      <w:pPr>
        <w:pStyle w:val="Heading2"/>
        <w:numPr>
          <w:ilvl w:val="0"/>
          <w:numId w:val="10"/>
        </w:numPr>
        <w:spacing w:after="120"/>
        <w:rPr>
          <w:rFonts w:ascii="Source Sans Pro" w:hAnsi="Source Sans Pro"/>
        </w:rPr>
      </w:pPr>
      <w:r w:rsidRPr="00B351B9">
        <w:rPr>
          <w:rFonts w:ascii="Source Sans Pro" w:hAnsi="Source Sans Pro"/>
        </w:rPr>
        <w:t xml:space="preserve">Objective </w:t>
      </w:r>
    </w:p>
    <w:p w14:paraId="43172F7F" w14:textId="77777777" w:rsidR="008F0B95" w:rsidRPr="004A53D3" w:rsidRDefault="0078409A" w:rsidP="004A53D3">
      <w:pPr>
        <w:pStyle w:val="ListParagraph"/>
        <w:numPr>
          <w:ilvl w:val="1"/>
          <w:numId w:val="10"/>
        </w:numPr>
        <w:spacing w:after="120"/>
        <w:contextualSpacing w:val="0"/>
        <w:rPr>
          <w:rFonts w:ascii="Source Sans Pro" w:hAnsi="Source Sans Pro" w:cs="Arial"/>
        </w:rPr>
      </w:pPr>
      <w:r w:rsidRPr="004A53D3">
        <w:rPr>
          <w:rFonts w:ascii="Source Sans Pro" w:hAnsi="Source Sans Pro" w:cs="Arial"/>
        </w:rPr>
        <w:t>The objectives of this policy are to:</w:t>
      </w:r>
    </w:p>
    <w:p w14:paraId="6B85F4E6" w14:textId="77777777" w:rsidR="008F0B95"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identify the University’s obligations for handling personal information of past and present University staff, students, prospective students and other individuals associated with the University; </w:t>
      </w:r>
    </w:p>
    <w:p w14:paraId="0D110CA0" w14:textId="77777777" w:rsidR="008F0B95"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encourage all University staff to take a proactive privacy approach; and</w:t>
      </w:r>
    </w:p>
    <w:p w14:paraId="621E0D58" w14:textId="77777777" w:rsidR="00B0424A"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identify the University’s obligations for responding to complaints about potential privacy breaches. </w:t>
      </w:r>
    </w:p>
    <w:p w14:paraId="35F2E427" w14:textId="77777777" w:rsidR="00055070" w:rsidRPr="00B351B9" w:rsidRDefault="0078409A" w:rsidP="00055070">
      <w:pPr>
        <w:pStyle w:val="Heading2"/>
        <w:numPr>
          <w:ilvl w:val="0"/>
          <w:numId w:val="10"/>
        </w:numPr>
        <w:spacing w:after="120"/>
        <w:rPr>
          <w:rFonts w:ascii="Source Sans Pro" w:hAnsi="Source Sans Pro"/>
        </w:rPr>
      </w:pPr>
      <w:r w:rsidRPr="00B351B9">
        <w:rPr>
          <w:rFonts w:ascii="Source Sans Pro" w:hAnsi="Source Sans Pro"/>
        </w:rPr>
        <w:t xml:space="preserve">Scope </w:t>
      </w:r>
    </w:p>
    <w:p w14:paraId="42277752" w14:textId="77777777" w:rsidR="00B0424A" w:rsidRPr="004A53D3" w:rsidRDefault="008F0B95" w:rsidP="004A53D3">
      <w:pPr>
        <w:pStyle w:val="ListParagraph"/>
        <w:numPr>
          <w:ilvl w:val="1"/>
          <w:numId w:val="10"/>
        </w:numPr>
        <w:spacing w:after="120"/>
        <w:contextualSpacing w:val="0"/>
        <w:rPr>
          <w:rFonts w:ascii="Source Sans Pro" w:hAnsi="Source Sans Pro" w:cs="Arial"/>
        </w:rPr>
      </w:pPr>
      <w:r w:rsidRPr="004A53D3">
        <w:rPr>
          <w:rFonts w:ascii="Source Sans Pro" w:hAnsi="Source Sans Pro" w:cs="Arial"/>
        </w:rPr>
        <w:t>T</w:t>
      </w:r>
      <w:r w:rsidR="0078409A" w:rsidRPr="004A53D3">
        <w:rPr>
          <w:rFonts w:ascii="Source Sans Pro" w:hAnsi="Source Sans Pro" w:cs="Arial"/>
        </w:rPr>
        <w:t xml:space="preserve">his policy applies to all personal and health information (including sensitive information) collected by the University, including that of staff and students and other individuals associated with the University. </w:t>
      </w:r>
    </w:p>
    <w:p w14:paraId="7F1965BE" w14:textId="77777777" w:rsidR="00055070" w:rsidRPr="00B351B9" w:rsidRDefault="0078409A" w:rsidP="00055070">
      <w:pPr>
        <w:pStyle w:val="Heading2"/>
        <w:numPr>
          <w:ilvl w:val="0"/>
          <w:numId w:val="10"/>
        </w:numPr>
        <w:spacing w:after="120"/>
        <w:rPr>
          <w:rFonts w:ascii="Source Sans Pro" w:hAnsi="Source Sans Pro"/>
        </w:rPr>
      </w:pPr>
      <w:r w:rsidRPr="00B351B9">
        <w:rPr>
          <w:rFonts w:ascii="Source Sans Pro" w:hAnsi="Source Sans Pro"/>
        </w:rPr>
        <w:t xml:space="preserve">Authority </w:t>
      </w:r>
    </w:p>
    <w:p w14:paraId="0C612BE1" w14:textId="77777777" w:rsidR="00055070" w:rsidRPr="004A53D3" w:rsidRDefault="0078409A" w:rsidP="004A53D3">
      <w:pPr>
        <w:pStyle w:val="ListParagraph"/>
        <w:numPr>
          <w:ilvl w:val="1"/>
          <w:numId w:val="10"/>
        </w:numPr>
        <w:spacing w:after="120"/>
        <w:contextualSpacing w:val="0"/>
        <w:rPr>
          <w:rFonts w:ascii="Source Sans Pro" w:hAnsi="Source Sans Pro" w:cs="Arial"/>
        </w:rPr>
      </w:pPr>
      <w:r w:rsidRPr="004A53D3">
        <w:rPr>
          <w:rFonts w:ascii="Source Sans Pro" w:hAnsi="Source Sans Pro" w:cs="Arial"/>
        </w:rPr>
        <w:t xml:space="preserve">This policy is made under the </w:t>
      </w:r>
      <w:hyperlink r:id="rId8"/>
      <w:hyperlink r:id="rId9">
        <w:r w:rsidRPr="004A53D3">
          <w:rPr>
            <w:rFonts w:ascii="Source Sans Pro" w:hAnsi="Source Sans Pro" w:cs="Arial"/>
          </w:rPr>
          <w:t xml:space="preserve">University of Melbourne Act 2009 </w:t>
        </w:r>
      </w:hyperlink>
      <w:hyperlink r:id="rId10">
        <w:r w:rsidRPr="004A53D3">
          <w:rPr>
            <w:rFonts w:ascii="Source Sans Pro" w:hAnsi="Source Sans Pro" w:cs="Arial"/>
          </w:rPr>
          <w:t xml:space="preserve">(Vic) </w:t>
        </w:r>
      </w:hyperlink>
      <w:r w:rsidRPr="004A53D3">
        <w:rPr>
          <w:rFonts w:ascii="Source Sans Pro" w:hAnsi="Source Sans Pro" w:cs="Arial"/>
        </w:rPr>
        <w:t xml:space="preserve">and the </w:t>
      </w:r>
      <w:hyperlink r:id="rId11">
        <w:r w:rsidRPr="004A53D3">
          <w:rPr>
            <w:rFonts w:ascii="Source Sans Pro" w:hAnsi="Source Sans Pro" w:cs="Arial"/>
          </w:rPr>
          <w:t xml:space="preserve">Vice-Chancellor Regulation </w:t>
        </w:r>
      </w:hyperlink>
      <w:r w:rsidRPr="004A53D3">
        <w:rPr>
          <w:rFonts w:ascii="Source Sans Pro" w:hAnsi="Source Sans Pro" w:cs="Arial"/>
        </w:rPr>
        <w:t xml:space="preserve">. It supports compliance with the: </w:t>
      </w:r>
    </w:p>
    <w:p w14:paraId="06DD01FA" w14:textId="77777777" w:rsidR="00055070"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Privacy and Data Protection Act 2014 (Vic); </w:t>
      </w:r>
    </w:p>
    <w:p w14:paraId="67A17FE0" w14:textId="77777777" w:rsidR="00055070"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Health Records Act 2001 (Vic); </w:t>
      </w:r>
    </w:p>
    <w:p w14:paraId="39B3AD16" w14:textId="77777777" w:rsidR="00055070"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Public Records Act 1973 (Vic); </w:t>
      </w:r>
    </w:p>
    <w:p w14:paraId="3D03F05F" w14:textId="77777777" w:rsidR="00055070"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Privacy Act 1988 (Cth) in circumstances where the University agrees to be bound contractually under the Commonwealth privacy legislation, or where it is subject to specific provisions, such as the Notifiable Data Breaches (NDB) scheme which applies to the University as a Tax File Number Recipient; and </w:t>
      </w:r>
    </w:p>
    <w:p w14:paraId="5B293C02" w14:textId="77777777" w:rsidR="00B0424A" w:rsidRPr="004A53D3" w:rsidRDefault="0078409A" w:rsidP="004A53D3">
      <w:pPr>
        <w:pStyle w:val="ListParagraph"/>
        <w:numPr>
          <w:ilvl w:val="2"/>
          <w:numId w:val="10"/>
        </w:numPr>
        <w:spacing w:after="120"/>
        <w:contextualSpacing w:val="0"/>
        <w:rPr>
          <w:rFonts w:ascii="Source Sans Pro" w:hAnsi="Source Sans Pro" w:cs="Arial"/>
        </w:rPr>
      </w:pPr>
      <w:r w:rsidRPr="004A53D3">
        <w:rPr>
          <w:rFonts w:ascii="Source Sans Pro" w:hAnsi="Source Sans Pro" w:cs="Arial"/>
        </w:rPr>
        <w:t xml:space="preserve">European Union General Data Protection Regulation (GDPR) in circumstances where the GDPR applies to the University’s activities involving individuals or entities located in the European Union (EU), or where the University </w:t>
      </w:r>
      <w:proofErr w:type="gramStart"/>
      <w:r w:rsidRPr="004A53D3">
        <w:rPr>
          <w:rFonts w:ascii="Source Sans Pro" w:hAnsi="Source Sans Pro" w:cs="Arial"/>
        </w:rPr>
        <w:t>enters into</w:t>
      </w:r>
      <w:proofErr w:type="gramEnd"/>
      <w:r w:rsidRPr="004A53D3">
        <w:rPr>
          <w:rFonts w:ascii="Source Sans Pro" w:hAnsi="Source Sans Pro" w:cs="Arial"/>
        </w:rPr>
        <w:t xml:space="preserve"> a binding contract requiring it to abide by the provisions of the GDPR. </w:t>
      </w:r>
    </w:p>
    <w:p w14:paraId="57F00E37" w14:textId="77777777" w:rsidR="00365AEA" w:rsidRPr="00B351B9" w:rsidRDefault="0078409A" w:rsidP="00365AEA">
      <w:pPr>
        <w:pStyle w:val="Heading2"/>
        <w:numPr>
          <w:ilvl w:val="0"/>
          <w:numId w:val="10"/>
        </w:numPr>
        <w:spacing w:after="120"/>
        <w:rPr>
          <w:rFonts w:ascii="Source Sans Pro" w:hAnsi="Source Sans Pro"/>
        </w:rPr>
      </w:pPr>
      <w:r w:rsidRPr="00B351B9">
        <w:rPr>
          <w:rFonts w:ascii="Source Sans Pro" w:hAnsi="Source Sans Pro"/>
        </w:rPr>
        <w:t xml:space="preserve">Policy </w:t>
      </w:r>
    </w:p>
    <w:p w14:paraId="2F5E26A1" w14:textId="77777777" w:rsidR="00365AEA" w:rsidRPr="00B351B9" w:rsidRDefault="00365AE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Proactive privacy – The University is proactive in its approach to privacy protection by anticipating and preventing invasive events before they occur.</w:t>
      </w:r>
    </w:p>
    <w:p w14:paraId="49FCAF60" w14:textId="77777777" w:rsidR="00365AEA" w:rsidRPr="00B351B9" w:rsidRDefault="0078409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Privacy by design – The University embeds privacy considerations into the design and architecture of information technology systems and business processes. </w:t>
      </w:r>
    </w:p>
    <w:p w14:paraId="7DE0DB40" w14:textId="77777777" w:rsidR="00365AEA" w:rsidRPr="00B351B9" w:rsidRDefault="0078409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The University collects, uses, discloses and manages personal information as University records in accordance with the Information Privacy Principles (IPPs) in the Privacy and Data Protection Act 2014 (Vic).</w:t>
      </w:r>
    </w:p>
    <w:p w14:paraId="36481D3D" w14:textId="77777777" w:rsidR="00365AEA" w:rsidRPr="00B351B9" w:rsidRDefault="0078409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In circumstances where the Privacy Act 1988 (Cth) applies the University will: </w:t>
      </w:r>
    </w:p>
    <w:p w14:paraId="079671B9" w14:textId="77777777" w:rsidR="00365AEA" w:rsidRPr="00B351B9" w:rsidRDefault="0078409A" w:rsidP="00BD6D39">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comply with Australian Privacy Principles (APPs) that have the same intent as the IPPs in the Victorian legislation; and </w:t>
      </w:r>
    </w:p>
    <w:p w14:paraId="31958167" w14:textId="77777777" w:rsidR="00365AEA" w:rsidRPr="00B351B9" w:rsidRDefault="0078409A" w:rsidP="00BD6D39">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meet its obligations under the NDB. </w:t>
      </w:r>
    </w:p>
    <w:p w14:paraId="4F9212ED" w14:textId="77777777" w:rsidR="00365AEA" w:rsidRPr="00B351B9" w:rsidRDefault="0078409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In circumstances where the GDPR applies to the University’s activities, the University will act in accordance with its requirements. </w:t>
      </w:r>
    </w:p>
    <w:p w14:paraId="31ECE504" w14:textId="77777777" w:rsidR="00B0424A" w:rsidRPr="00B351B9" w:rsidRDefault="0078409A" w:rsidP="00BD6D39">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The University collects health information of its staff, students and other individuals, in accordance with the Health Privacy Principles (HPPs) in the Health Records Act 2001 (Vic). </w:t>
      </w:r>
    </w:p>
    <w:p w14:paraId="681A98E7" w14:textId="77777777" w:rsidR="00B0424A" w:rsidRPr="00B351B9" w:rsidRDefault="0078409A" w:rsidP="00365AEA">
      <w:pPr>
        <w:pStyle w:val="Heading2"/>
        <w:numPr>
          <w:ilvl w:val="0"/>
          <w:numId w:val="10"/>
        </w:numPr>
        <w:spacing w:after="120"/>
        <w:rPr>
          <w:rFonts w:ascii="Source Sans Pro" w:hAnsi="Source Sans Pro"/>
        </w:rPr>
      </w:pPr>
      <w:r w:rsidRPr="00B351B9">
        <w:rPr>
          <w:rFonts w:ascii="Source Sans Pro" w:hAnsi="Source Sans Pro"/>
        </w:rPr>
        <w:lastRenderedPageBreak/>
        <w:t xml:space="preserve">Procedural principles </w:t>
      </w:r>
    </w:p>
    <w:p w14:paraId="5F68B693" w14:textId="77777777" w:rsidR="00365AEA" w:rsidRPr="00B351B9" w:rsidRDefault="0078409A" w:rsidP="00365AEA">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The University’s Privacy and Data Protection Officer is responsible for responding to all complaints of potential privacy or personal data protection breaches. </w:t>
      </w:r>
    </w:p>
    <w:p w14:paraId="4F310B61" w14:textId="77777777" w:rsidR="00365AEA" w:rsidRPr="00B351B9" w:rsidRDefault="00000000" w:rsidP="00365AEA">
      <w:pPr>
        <w:pStyle w:val="ListParagraph"/>
        <w:numPr>
          <w:ilvl w:val="1"/>
          <w:numId w:val="10"/>
        </w:numPr>
        <w:spacing w:after="120"/>
        <w:contextualSpacing w:val="0"/>
        <w:rPr>
          <w:rFonts w:ascii="Source Sans Pro" w:hAnsi="Source Sans Pro" w:cs="Arial"/>
        </w:rPr>
      </w:pPr>
      <w:hyperlink r:id="rId12">
        <w:r w:rsidR="0078409A" w:rsidRPr="00B351B9">
          <w:rPr>
            <w:rFonts w:ascii="Source Sans Pro" w:hAnsi="Source Sans Pro" w:cs="Arial"/>
          </w:rPr>
          <w:t xml:space="preserve">Privacy impact assessments </w:t>
        </w:r>
      </w:hyperlink>
      <w:r w:rsidR="0078409A" w:rsidRPr="00B351B9">
        <w:rPr>
          <w:rFonts w:ascii="Source Sans Pro" w:hAnsi="Source Sans Pro" w:cs="Arial"/>
        </w:rPr>
        <w:t xml:space="preserve">(PIAs) must be undertaken throughout the development and implementation of any project that collects, handles, processes or discloses personal information, or when making changes to existing systems or activities. </w:t>
      </w:r>
    </w:p>
    <w:p w14:paraId="278E6A3F" w14:textId="77777777" w:rsidR="00365AEA" w:rsidRPr="00B351B9" w:rsidRDefault="0078409A" w:rsidP="00365AEA">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General privacy statements must be available on the University’s </w:t>
      </w:r>
      <w:hyperlink r:id="rId13">
        <w:r w:rsidRPr="00B351B9">
          <w:rPr>
            <w:rFonts w:ascii="Source Sans Pro" w:hAnsi="Source Sans Pro" w:cs="Arial"/>
          </w:rPr>
          <w:t xml:space="preserve">privacy website </w:t>
        </w:r>
      </w:hyperlink>
      <w:r w:rsidRPr="00B351B9">
        <w:rPr>
          <w:rFonts w:ascii="Source Sans Pro" w:hAnsi="Source Sans Pro" w:cs="Arial"/>
        </w:rPr>
        <w:t xml:space="preserve">. </w:t>
      </w:r>
    </w:p>
    <w:p w14:paraId="1D8EBCD8" w14:textId="77777777" w:rsidR="00365AEA" w:rsidRPr="00B351B9" w:rsidRDefault="0078409A" w:rsidP="00365AEA">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Privacy collection notices specific to </w:t>
      </w:r>
      <w:proofErr w:type="gramStart"/>
      <w:r w:rsidRPr="00B351B9">
        <w:rPr>
          <w:rFonts w:ascii="Source Sans Pro" w:hAnsi="Source Sans Pro" w:cs="Arial"/>
        </w:rPr>
        <w:t>particular projects</w:t>
      </w:r>
      <w:proofErr w:type="gramEnd"/>
      <w:r w:rsidRPr="00B351B9">
        <w:rPr>
          <w:rFonts w:ascii="Source Sans Pro" w:hAnsi="Source Sans Pro" w:cs="Arial"/>
        </w:rPr>
        <w:t xml:space="preserve"> or activities must be provided at the point of collection of any personal information from individuals. </w:t>
      </w:r>
    </w:p>
    <w:p w14:paraId="07EF68AA" w14:textId="77777777" w:rsidR="00365AEA" w:rsidRPr="00B351B9" w:rsidRDefault="0078409A" w:rsidP="00365AEA">
      <w:pPr>
        <w:pStyle w:val="ListParagraph"/>
        <w:numPr>
          <w:ilvl w:val="1"/>
          <w:numId w:val="10"/>
        </w:numPr>
        <w:spacing w:after="120"/>
        <w:contextualSpacing w:val="0"/>
        <w:rPr>
          <w:rFonts w:ascii="Source Sans Pro" w:hAnsi="Source Sans Pro" w:cs="Arial"/>
        </w:rPr>
      </w:pPr>
      <w:r w:rsidRPr="00B351B9">
        <w:rPr>
          <w:rFonts w:ascii="Source Sans Pro" w:hAnsi="Source Sans Pro" w:cs="Arial"/>
        </w:rPr>
        <w:t xml:space="preserve">Both the general website privacy statements and specific privacy collection notices must include the following information: </w:t>
      </w:r>
    </w:p>
    <w:p w14:paraId="068EEC19"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the main functions of the University (or relevant area/s of the University) and the types of personal information collected to fulfil these; </w:t>
      </w:r>
    </w:p>
    <w:p w14:paraId="3404203F"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the name and contact details of the appropriate University representative in relation to those functions; </w:t>
      </w:r>
    </w:p>
    <w:p w14:paraId="1D55EE53"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the purposes of collection of the information; </w:t>
      </w:r>
    </w:p>
    <w:p w14:paraId="04A4AD0A"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how personal information is used and to whom it is routinely disclosed; </w:t>
      </w:r>
    </w:p>
    <w:p w14:paraId="3C8F05AA"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whether collection of personal information is optional or compulsory under applicable legislation; </w:t>
      </w:r>
    </w:p>
    <w:p w14:paraId="55D92AF7"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how the information is stored securely, how access is properly managed, and the retention periods for the information; </w:t>
      </w:r>
    </w:p>
    <w:p w14:paraId="07522844"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details of any transfer or storage of the information outside Victoria and how privacy is protected in such circumstances; </w:t>
      </w:r>
    </w:p>
    <w:p w14:paraId="75DF66B5" w14:textId="77777777" w:rsidR="00365AE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how individuals can request access to, or correction of, their personal information, or exercise GDPR rights where applicable; and </w:t>
      </w:r>
    </w:p>
    <w:p w14:paraId="16741BD4" w14:textId="77777777" w:rsidR="00B0424A" w:rsidRPr="00B351B9" w:rsidRDefault="0078409A" w:rsidP="0078409A">
      <w:pPr>
        <w:pStyle w:val="ListParagraph"/>
        <w:numPr>
          <w:ilvl w:val="2"/>
          <w:numId w:val="10"/>
        </w:numPr>
        <w:spacing w:after="120"/>
        <w:contextualSpacing w:val="0"/>
        <w:rPr>
          <w:rFonts w:ascii="Source Sans Pro" w:hAnsi="Source Sans Pro" w:cs="Arial"/>
        </w:rPr>
      </w:pPr>
      <w:r w:rsidRPr="00B351B9">
        <w:rPr>
          <w:rFonts w:ascii="Source Sans Pro" w:hAnsi="Source Sans Pro" w:cs="Arial"/>
        </w:rPr>
        <w:t xml:space="preserve">the name and contact details of the University’s Privacy and Data Protection Officer (DPO). </w:t>
      </w:r>
    </w:p>
    <w:p w14:paraId="7F5C410B" w14:textId="77777777" w:rsidR="00B0424A" w:rsidRPr="00B351B9" w:rsidRDefault="0078409A" w:rsidP="00365AEA">
      <w:pPr>
        <w:pStyle w:val="Heading2"/>
        <w:numPr>
          <w:ilvl w:val="0"/>
          <w:numId w:val="10"/>
        </w:numPr>
        <w:spacing w:after="120"/>
        <w:rPr>
          <w:rFonts w:ascii="Source Sans Pro" w:hAnsi="Source Sans Pro"/>
        </w:rPr>
      </w:pPr>
      <w:r w:rsidRPr="00B351B9">
        <w:rPr>
          <w:rFonts w:ascii="Source Sans Pro" w:hAnsi="Source Sans Pro"/>
        </w:rPr>
        <w:t xml:space="preserve">Roles and responsibilities </w:t>
      </w:r>
    </w:p>
    <w:tbl>
      <w:tblPr>
        <w:tblStyle w:val="TableGrid"/>
        <w:tblW w:w="0" w:type="auto"/>
        <w:tblInd w:w="661" w:type="dxa"/>
        <w:tblLook w:val="04A0" w:firstRow="1" w:lastRow="0" w:firstColumn="1" w:lastColumn="0" w:noHBand="0" w:noVBand="1"/>
      </w:tblPr>
      <w:tblGrid>
        <w:gridCol w:w="2880"/>
        <w:gridCol w:w="2880"/>
        <w:gridCol w:w="2880"/>
      </w:tblGrid>
      <w:tr w:rsidR="00B0424A" w:rsidRPr="00B351B9" w14:paraId="7C4DE3BD" w14:textId="77777777" w:rsidTr="00B351B9">
        <w:tc>
          <w:tcPr>
            <w:tcW w:w="2880" w:type="dxa"/>
          </w:tcPr>
          <w:p w14:paraId="11384992" w14:textId="77777777" w:rsidR="00B0424A" w:rsidRPr="00B351B9" w:rsidRDefault="00B0424A" w:rsidP="00B351B9">
            <w:pPr>
              <w:spacing w:after="120"/>
              <w:ind w:left="0"/>
              <w:rPr>
                <w:rFonts w:ascii="Source Sans Pro" w:hAnsi="Source Sans Pro"/>
              </w:rPr>
            </w:pPr>
          </w:p>
          <w:p w14:paraId="376B2235" w14:textId="77777777" w:rsidR="00B0424A" w:rsidRPr="00B351B9" w:rsidRDefault="0078409A" w:rsidP="00B351B9">
            <w:pPr>
              <w:spacing w:after="120"/>
              <w:ind w:left="0"/>
              <w:rPr>
                <w:rFonts w:ascii="Source Sans Pro" w:hAnsi="Source Sans Pro"/>
              </w:rPr>
            </w:pPr>
            <w:r w:rsidRPr="00B351B9">
              <w:rPr>
                <w:rFonts w:ascii="Source Sans Pro" w:hAnsi="Source Sans Pro"/>
                <w:i/>
              </w:rPr>
              <w:t xml:space="preserve">Role/Decision/Action </w:t>
            </w:r>
          </w:p>
        </w:tc>
        <w:tc>
          <w:tcPr>
            <w:tcW w:w="2880" w:type="dxa"/>
          </w:tcPr>
          <w:p w14:paraId="240C1FA0" w14:textId="77777777" w:rsidR="00B0424A" w:rsidRPr="00B351B9" w:rsidRDefault="00B0424A" w:rsidP="00B351B9">
            <w:pPr>
              <w:spacing w:after="120"/>
              <w:ind w:left="0"/>
              <w:rPr>
                <w:rFonts w:ascii="Source Sans Pro" w:hAnsi="Source Sans Pro"/>
              </w:rPr>
            </w:pPr>
          </w:p>
          <w:p w14:paraId="002604D6" w14:textId="77777777" w:rsidR="00B0424A" w:rsidRPr="00B351B9" w:rsidRDefault="0078409A" w:rsidP="00B351B9">
            <w:pPr>
              <w:spacing w:after="120"/>
              <w:ind w:left="0"/>
              <w:rPr>
                <w:rFonts w:ascii="Source Sans Pro" w:hAnsi="Source Sans Pro"/>
              </w:rPr>
            </w:pPr>
            <w:r w:rsidRPr="00B351B9">
              <w:rPr>
                <w:rFonts w:ascii="Source Sans Pro" w:hAnsi="Source Sans Pro"/>
                <w:i/>
              </w:rPr>
              <w:t xml:space="preserve">Responsibility </w:t>
            </w:r>
          </w:p>
        </w:tc>
        <w:tc>
          <w:tcPr>
            <w:tcW w:w="2880" w:type="dxa"/>
          </w:tcPr>
          <w:p w14:paraId="4D9432B3" w14:textId="77777777" w:rsidR="00B0424A" w:rsidRPr="00B351B9" w:rsidRDefault="00B0424A" w:rsidP="00B351B9">
            <w:pPr>
              <w:spacing w:after="120"/>
              <w:ind w:left="0"/>
              <w:rPr>
                <w:rFonts w:ascii="Source Sans Pro" w:hAnsi="Source Sans Pro"/>
              </w:rPr>
            </w:pPr>
          </w:p>
          <w:p w14:paraId="4969D645" w14:textId="77777777" w:rsidR="00B0424A" w:rsidRPr="00B351B9" w:rsidRDefault="0078409A" w:rsidP="00B351B9">
            <w:pPr>
              <w:spacing w:after="120"/>
              <w:ind w:left="0"/>
              <w:rPr>
                <w:rFonts w:ascii="Source Sans Pro" w:hAnsi="Source Sans Pro"/>
              </w:rPr>
            </w:pPr>
            <w:r w:rsidRPr="00B351B9">
              <w:rPr>
                <w:rFonts w:ascii="Source Sans Pro" w:hAnsi="Source Sans Pro"/>
                <w:i/>
              </w:rPr>
              <w:t xml:space="preserve">Conditions and limitations </w:t>
            </w:r>
          </w:p>
        </w:tc>
      </w:tr>
      <w:tr w:rsidR="00B0424A" w:rsidRPr="00B351B9" w14:paraId="4D54FBCD" w14:textId="77777777" w:rsidTr="00B351B9">
        <w:tc>
          <w:tcPr>
            <w:tcW w:w="2880" w:type="dxa"/>
          </w:tcPr>
          <w:p w14:paraId="5326BF39" w14:textId="77777777" w:rsidR="00B0424A" w:rsidRPr="00B351B9" w:rsidRDefault="00B0424A" w:rsidP="00B351B9">
            <w:pPr>
              <w:spacing w:after="120"/>
              <w:ind w:left="0"/>
              <w:rPr>
                <w:rFonts w:ascii="Source Sans Pro" w:hAnsi="Source Sans Pro"/>
              </w:rPr>
            </w:pPr>
          </w:p>
          <w:p w14:paraId="1082C766"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The Privacy and Data Protection Officer must control and maintain the Privacy Policy </w:t>
            </w:r>
          </w:p>
        </w:tc>
        <w:tc>
          <w:tcPr>
            <w:tcW w:w="2880" w:type="dxa"/>
          </w:tcPr>
          <w:p w14:paraId="042857CB" w14:textId="77777777" w:rsidR="00B0424A" w:rsidRPr="00B351B9" w:rsidRDefault="00B0424A" w:rsidP="00B351B9">
            <w:pPr>
              <w:spacing w:after="120"/>
              <w:ind w:left="0"/>
              <w:rPr>
                <w:rFonts w:ascii="Source Sans Pro" w:hAnsi="Source Sans Pro"/>
              </w:rPr>
            </w:pPr>
          </w:p>
          <w:p w14:paraId="1ABCC204"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University Secretary </w:t>
            </w:r>
          </w:p>
        </w:tc>
        <w:tc>
          <w:tcPr>
            <w:tcW w:w="2880" w:type="dxa"/>
          </w:tcPr>
          <w:p w14:paraId="566BE0EE" w14:textId="77777777" w:rsidR="00B0424A" w:rsidRPr="00B351B9" w:rsidRDefault="00B0424A" w:rsidP="00B351B9">
            <w:pPr>
              <w:spacing w:after="120"/>
              <w:ind w:left="0"/>
              <w:rPr>
                <w:rFonts w:ascii="Source Sans Pro" w:hAnsi="Source Sans Pro"/>
              </w:rPr>
            </w:pPr>
          </w:p>
          <w:p w14:paraId="03A0DD43" w14:textId="77777777" w:rsidR="00B0424A" w:rsidRPr="00B351B9" w:rsidRDefault="00B0424A" w:rsidP="00B351B9">
            <w:pPr>
              <w:spacing w:after="120"/>
              <w:ind w:left="0"/>
              <w:rPr>
                <w:rFonts w:ascii="Source Sans Pro" w:hAnsi="Source Sans Pro"/>
              </w:rPr>
            </w:pPr>
          </w:p>
        </w:tc>
      </w:tr>
      <w:tr w:rsidR="00B0424A" w:rsidRPr="00B351B9" w14:paraId="3683EFDB" w14:textId="77777777" w:rsidTr="00B351B9">
        <w:tc>
          <w:tcPr>
            <w:tcW w:w="2880" w:type="dxa"/>
          </w:tcPr>
          <w:p w14:paraId="504CC49C" w14:textId="77777777" w:rsidR="00B0424A" w:rsidRPr="00B351B9" w:rsidRDefault="00B0424A" w:rsidP="00B351B9">
            <w:pPr>
              <w:spacing w:after="120"/>
              <w:ind w:left="0"/>
              <w:rPr>
                <w:rFonts w:ascii="Source Sans Pro" w:hAnsi="Source Sans Pro"/>
              </w:rPr>
            </w:pPr>
          </w:p>
          <w:p w14:paraId="2C1F660C"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The Privacy and Data Protection Officer must administer this policy, including monitoring compliance, informing and assisting staff on privacy issues and responding to complaints </w:t>
            </w:r>
            <w:r w:rsidRPr="00B351B9">
              <w:rPr>
                <w:rFonts w:ascii="Source Sans Pro" w:hAnsi="Source Sans Pro"/>
              </w:rPr>
              <w:lastRenderedPageBreak/>
              <w:t xml:space="preserve">concerning potential privacy breaches </w:t>
            </w:r>
          </w:p>
        </w:tc>
        <w:tc>
          <w:tcPr>
            <w:tcW w:w="2880" w:type="dxa"/>
          </w:tcPr>
          <w:p w14:paraId="4B9A97E0" w14:textId="77777777" w:rsidR="00B0424A" w:rsidRPr="00B351B9" w:rsidRDefault="00B0424A" w:rsidP="00B351B9">
            <w:pPr>
              <w:spacing w:after="120"/>
              <w:ind w:left="0"/>
              <w:rPr>
                <w:rFonts w:ascii="Source Sans Pro" w:hAnsi="Source Sans Pro"/>
              </w:rPr>
            </w:pPr>
          </w:p>
          <w:p w14:paraId="04C14B17"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University Secretary </w:t>
            </w:r>
          </w:p>
        </w:tc>
        <w:tc>
          <w:tcPr>
            <w:tcW w:w="2880" w:type="dxa"/>
          </w:tcPr>
          <w:p w14:paraId="066A5540" w14:textId="77777777" w:rsidR="00B0424A" w:rsidRPr="00B351B9" w:rsidRDefault="00B0424A" w:rsidP="00B351B9">
            <w:pPr>
              <w:spacing w:after="120"/>
              <w:ind w:left="0"/>
              <w:rPr>
                <w:rFonts w:ascii="Source Sans Pro" w:hAnsi="Source Sans Pro"/>
              </w:rPr>
            </w:pPr>
          </w:p>
          <w:p w14:paraId="38552BF4" w14:textId="77777777" w:rsidR="00B0424A" w:rsidRPr="00B351B9" w:rsidRDefault="0078409A" w:rsidP="00B351B9">
            <w:pPr>
              <w:spacing w:after="120"/>
              <w:ind w:left="0"/>
              <w:rPr>
                <w:rFonts w:ascii="Source Sans Pro" w:hAnsi="Source Sans Pro"/>
              </w:rPr>
            </w:pPr>
            <w:r w:rsidRPr="00B351B9">
              <w:rPr>
                <w:rFonts w:ascii="Source Sans Pro" w:hAnsi="Source Sans Pro"/>
              </w:rPr>
              <w:br/>
            </w:r>
          </w:p>
        </w:tc>
      </w:tr>
      <w:tr w:rsidR="00B0424A" w:rsidRPr="00B351B9" w14:paraId="5BF3B0CA" w14:textId="77777777" w:rsidTr="00B351B9">
        <w:tc>
          <w:tcPr>
            <w:tcW w:w="2880" w:type="dxa"/>
          </w:tcPr>
          <w:p w14:paraId="7E957195"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The Privacy and Data Protection Officer is the contact point for the purposes of the GDPR </w:t>
            </w:r>
          </w:p>
        </w:tc>
        <w:tc>
          <w:tcPr>
            <w:tcW w:w="2880" w:type="dxa"/>
          </w:tcPr>
          <w:p w14:paraId="463356D7" w14:textId="77777777" w:rsidR="00B0424A" w:rsidRPr="00B351B9" w:rsidRDefault="0078409A" w:rsidP="00B351B9">
            <w:pPr>
              <w:spacing w:after="120"/>
              <w:ind w:left="0"/>
              <w:rPr>
                <w:rFonts w:ascii="Source Sans Pro" w:hAnsi="Source Sans Pro"/>
              </w:rPr>
            </w:pPr>
            <w:r w:rsidRPr="00B351B9">
              <w:rPr>
                <w:rFonts w:ascii="Source Sans Pro" w:hAnsi="Source Sans Pro"/>
              </w:rPr>
              <w:t xml:space="preserve">University Secretary </w:t>
            </w:r>
          </w:p>
        </w:tc>
        <w:tc>
          <w:tcPr>
            <w:tcW w:w="2880" w:type="dxa"/>
          </w:tcPr>
          <w:p w14:paraId="3A975DBB" w14:textId="77777777" w:rsidR="00B0424A" w:rsidRPr="00B351B9" w:rsidRDefault="00B0424A" w:rsidP="00B351B9">
            <w:pPr>
              <w:spacing w:after="120"/>
              <w:ind w:left="0"/>
              <w:rPr>
                <w:rFonts w:ascii="Source Sans Pro" w:hAnsi="Source Sans Pro"/>
              </w:rPr>
            </w:pPr>
          </w:p>
        </w:tc>
      </w:tr>
    </w:tbl>
    <w:p w14:paraId="2ED217C4" w14:textId="77777777" w:rsidR="00B0424A" w:rsidRPr="00B351B9" w:rsidRDefault="00B0424A">
      <w:pPr>
        <w:spacing w:after="120"/>
        <w:rPr>
          <w:rFonts w:ascii="Source Sans Pro" w:hAnsi="Source Sans Pro"/>
        </w:rPr>
      </w:pPr>
    </w:p>
    <w:p w14:paraId="4CE680A3" w14:textId="77777777" w:rsidR="00B0424A" w:rsidRPr="00B351B9" w:rsidRDefault="0078409A" w:rsidP="00365AEA">
      <w:pPr>
        <w:pStyle w:val="Heading2"/>
        <w:numPr>
          <w:ilvl w:val="0"/>
          <w:numId w:val="10"/>
        </w:numPr>
        <w:spacing w:after="120"/>
        <w:rPr>
          <w:rFonts w:ascii="Source Sans Pro" w:hAnsi="Source Sans Pro"/>
        </w:rPr>
      </w:pPr>
      <w:r w:rsidRPr="00B351B9">
        <w:rPr>
          <w:rFonts w:ascii="Source Sans Pro" w:hAnsi="Source Sans Pro"/>
        </w:rPr>
        <w:t xml:space="preserve">Definitions </w:t>
      </w:r>
    </w:p>
    <w:p w14:paraId="41E1BD2A" w14:textId="77777777" w:rsidR="00B0424A" w:rsidRPr="00B351B9" w:rsidRDefault="0078409A">
      <w:pPr>
        <w:spacing w:after="120"/>
        <w:rPr>
          <w:rFonts w:ascii="Source Sans Pro" w:hAnsi="Source Sans Pro"/>
        </w:rPr>
      </w:pPr>
      <w:r w:rsidRPr="00B351B9">
        <w:rPr>
          <w:rFonts w:ascii="Source Sans Pro" w:hAnsi="Source Sans Pro"/>
          <w:b/>
        </w:rPr>
        <w:t xml:space="preserve">Australian Privacy Principles </w:t>
      </w:r>
      <w:r w:rsidRPr="00B351B9">
        <w:rPr>
          <w:rFonts w:ascii="Source Sans Pro" w:hAnsi="Source Sans Pro"/>
        </w:rPr>
        <w:t xml:space="preserve">means the set of 13 principles in the </w:t>
      </w:r>
      <w:hyperlink r:id="rId14"/>
      <w:hyperlink r:id="rId15">
        <w:r w:rsidRPr="00B351B9">
          <w:rPr>
            <w:rFonts w:ascii="Source Sans Pro" w:hAnsi="Source Sans Pro"/>
            <w:color w:val="0000EE"/>
            <w:u w:val="single"/>
          </w:rPr>
          <w:t xml:space="preserve">Privacy Act 1988 </w:t>
        </w:r>
      </w:hyperlink>
      <w:hyperlink r:id="rId16">
        <w:r w:rsidRPr="00B351B9">
          <w:rPr>
            <w:rFonts w:ascii="Source Sans Pro" w:hAnsi="Source Sans Pro"/>
            <w:color w:val="0000EE"/>
            <w:u w:val="single"/>
          </w:rPr>
          <w:t xml:space="preserve">(Cth) </w:t>
        </w:r>
      </w:hyperlink>
      <w:r w:rsidRPr="00B351B9">
        <w:rPr>
          <w:rFonts w:ascii="Source Sans Pro" w:hAnsi="Source Sans Pro"/>
        </w:rPr>
        <w:t xml:space="preserve">governing the collection, quality, use, disclosure, management and transfer of personal information. </w:t>
      </w:r>
    </w:p>
    <w:p w14:paraId="0C22C6D5" w14:textId="77777777" w:rsidR="00B0424A" w:rsidRPr="00B351B9" w:rsidRDefault="0078409A">
      <w:pPr>
        <w:spacing w:after="120"/>
        <w:rPr>
          <w:rFonts w:ascii="Source Sans Pro" w:hAnsi="Source Sans Pro"/>
        </w:rPr>
      </w:pPr>
      <w:r w:rsidRPr="00B351B9">
        <w:rPr>
          <w:rFonts w:ascii="Source Sans Pro" w:hAnsi="Source Sans Pro"/>
          <w:b/>
        </w:rPr>
        <w:t xml:space="preserve">General Data Protection Regulation </w:t>
      </w:r>
      <w:r w:rsidRPr="00B351B9">
        <w:rPr>
          <w:rFonts w:ascii="Source Sans Pro" w:hAnsi="Source Sans Pro"/>
        </w:rPr>
        <w:t xml:space="preserve">means the legal framework governing the collection and processing of personal information of individuals located in the European Union (EU). The GDPR has extraterritorial reach and applies to entities outside the EU which do business with individuals located in the EU. </w:t>
      </w:r>
    </w:p>
    <w:p w14:paraId="2D32934D" w14:textId="77777777" w:rsidR="00B0424A" w:rsidRPr="00B351B9" w:rsidRDefault="0078409A">
      <w:pPr>
        <w:spacing w:after="120"/>
        <w:rPr>
          <w:rFonts w:ascii="Source Sans Pro" w:hAnsi="Source Sans Pro"/>
        </w:rPr>
      </w:pPr>
      <w:r w:rsidRPr="00B351B9">
        <w:rPr>
          <w:rFonts w:ascii="Source Sans Pro" w:hAnsi="Source Sans Pro"/>
          <w:b/>
        </w:rPr>
        <w:t xml:space="preserve">Health information </w:t>
      </w:r>
      <w:r w:rsidRPr="00B351B9">
        <w:rPr>
          <w:rFonts w:ascii="Source Sans Pro" w:hAnsi="Source Sans Pro"/>
        </w:rPr>
        <w:t xml:space="preserve">has the meaning given to it in section 3 of the </w:t>
      </w:r>
      <w:hyperlink r:id="rId17"/>
      <w:hyperlink r:id="rId18">
        <w:r w:rsidRPr="00B351B9">
          <w:rPr>
            <w:rFonts w:ascii="Source Sans Pro" w:hAnsi="Source Sans Pro"/>
            <w:color w:val="0000EE"/>
            <w:u w:val="single"/>
          </w:rPr>
          <w:t xml:space="preserve">Health Records Act 2001 </w:t>
        </w:r>
      </w:hyperlink>
      <w:hyperlink r:id="rId19">
        <w:r w:rsidRPr="00B351B9">
          <w:rPr>
            <w:rFonts w:ascii="Source Sans Pro" w:hAnsi="Source Sans Pro"/>
            <w:color w:val="0000EE"/>
            <w:u w:val="single"/>
          </w:rPr>
          <w:t xml:space="preserve">(Vic) </w:t>
        </w:r>
      </w:hyperlink>
      <w:r w:rsidRPr="00B351B9">
        <w:rPr>
          <w:rFonts w:ascii="Source Sans Pro" w:hAnsi="Source Sans Pro"/>
        </w:rPr>
        <w:t xml:space="preserve">. </w:t>
      </w:r>
    </w:p>
    <w:p w14:paraId="0849B41D" w14:textId="77777777" w:rsidR="00B0424A" w:rsidRPr="00B351B9" w:rsidRDefault="0078409A">
      <w:pPr>
        <w:spacing w:after="120"/>
        <w:rPr>
          <w:rFonts w:ascii="Source Sans Pro" w:hAnsi="Source Sans Pro"/>
        </w:rPr>
      </w:pPr>
      <w:r w:rsidRPr="00B351B9">
        <w:rPr>
          <w:rFonts w:ascii="Source Sans Pro" w:hAnsi="Source Sans Pro"/>
          <w:b/>
        </w:rPr>
        <w:t xml:space="preserve">Health Privacy Principles </w:t>
      </w:r>
      <w:r w:rsidRPr="00B351B9">
        <w:rPr>
          <w:rFonts w:ascii="Source Sans Pro" w:hAnsi="Source Sans Pro"/>
        </w:rPr>
        <w:t xml:space="preserve">means the set of 11 principles in the </w:t>
      </w:r>
      <w:hyperlink r:id="rId20"/>
      <w:hyperlink r:id="rId21">
        <w:r w:rsidRPr="00B351B9">
          <w:rPr>
            <w:rFonts w:ascii="Source Sans Pro" w:hAnsi="Source Sans Pro"/>
            <w:color w:val="0000EE"/>
            <w:u w:val="single"/>
          </w:rPr>
          <w:t xml:space="preserve">Health Records Act 2001 </w:t>
        </w:r>
      </w:hyperlink>
      <w:hyperlink r:id="rId22">
        <w:r w:rsidRPr="00B351B9">
          <w:rPr>
            <w:rFonts w:ascii="Source Sans Pro" w:hAnsi="Source Sans Pro"/>
            <w:color w:val="0000EE"/>
            <w:u w:val="single"/>
          </w:rPr>
          <w:t xml:space="preserve">(Vic) </w:t>
        </w:r>
      </w:hyperlink>
      <w:r w:rsidRPr="00B351B9">
        <w:rPr>
          <w:rFonts w:ascii="Source Sans Pro" w:hAnsi="Source Sans Pro"/>
        </w:rPr>
        <w:t xml:space="preserve">governing the collection, management, use, disclosure and transfer of health information by organisations such as the University. </w:t>
      </w:r>
    </w:p>
    <w:p w14:paraId="0E8F666C" w14:textId="77777777" w:rsidR="00B0424A" w:rsidRPr="00B351B9" w:rsidRDefault="0078409A">
      <w:pPr>
        <w:spacing w:after="120"/>
        <w:rPr>
          <w:rFonts w:ascii="Source Sans Pro" w:hAnsi="Source Sans Pro"/>
        </w:rPr>
      </w:pPr>
      <w:r w:rsidRPr="00B351B9">
        <w:rPr>
          <w:rFonts w:ascii="Source Sans Pro" w:hAnsi="Source Sans Pro"/>
          <w:b/>
        </w:rPr>
        <w:t xml:space="preserve">Information Privacy Principles </w:t>
      </w:r>
      <w:r w:rsidRPr="00B351B9">
        <w:rPr>
          <w:rFonts w:ascii="Source Sans Pro" w:hAnsi="Source Sans Pro"/>
        </w:rPr>
        <w:t xml:space="preserve">means the set of 10 principles in the </w:t>
      </w:r>
      <w:hyperlink r:id="rId23"/>
      <w:hyperlink r:id="rId24">
        <w:r w:rsidRPr="00B351B9">
          <w:rPr>
            <w:rFonts w:ascii="Source Sans Pro" w:hAnsi="Source Sans Pro"/>
            <w:color w:val="0000EE"/>
            <w:u w:val="single"/>
          </w:rPr>
          <w:t xml:space="preserve">Privacy and Data Protection Act 2014 </w:t>
        </w:r>
      </w:hyperlink>
      <w:hyperlink r:id="rId25">
        <w:r w:rsidRPr="00B351B9">
          <w:rPr>
            <w:rFonts w:ascii="Source Sans Pro" w:hAnsi="Source Sans Pro"/>
            <w:color w:val="0000EE"/>
            <w:u w:val="single"/>
          </w:rPr>
          <w:t xml:space="preserve">(Vic) </w:t>
        </w:r>
      </w:hyperlink>
      <w:r w:rsidRPr="00B351B9">
        <w:rPr>
          <w:rFonts w:ascii="Source Sans Pro" w:hAnsi="Source Sans Pro"/>
        </w:rPr>
        <w:t xml:space="preserve">governing the collection, use, disclosure, management and transfer of personal information by organisations such as the University. </w:t>
      </w:r>
    </w:p>
    <w:p w14:paraId="2E590551" w14:textId="77777777" w:rsidR="00B0424A" w:rsidRPr="00B351B9" w:rsidRDefault="0078409A">
      <w:pPr>
        <w:spacing w:after="120"/>
        <w:rPr>
          <w:rFonts w:ascii="Source Sans Pro" w:hAnsi="Source Sans Pro"/>
        </w:rPr>
      </w:pPr>
      <w:r w:rsidRPr="00B351B9">
        <w:rPr>
          <w:rFonts w:ascii="Source Sans Pro" w:hAnsi="Source Sans Pro"/>
          <w:b/>
        </w:rPr>
        <w:t xml:space="preserve">Notifiable Data Breach scheme (NDB) </w:t>
      </w:r>
      <w:r w:rsidRPr="00B351B9">
        <w:rPr>
          <w:rFonts w:ascii="Source Sans Pro" w:hAnsi="Source Sans Pro"/>
        </w:rPr>
        <w:t xml:space="preserve">means eligible data breaches that fall under the Commonwealth mandatory reporting scheme. As a Tax File Number Recipient, this applies to the University in relation to any unauthorised access to, or unauthorised disclosure of, tax file number data. </w:t>
      </w:r>
    </w:p>
    <w:p w14:paraId="282DC43A" w14:textId="77777777" w:rsidR="00B0424A" w:rsidRPr="00B351B9" w:rsidRDefault="0078409A">
      <w:pPr>
        <w:spacing w:after="120"/>
        <w:rPr>
          <w:rFonts w:ascii="Source Sans Pro" w:hAnsi="Source Sans Pro"/>
        </w:rPr>
      </w:pPr>
      <w:r w:rsidRPr="00B351B9">
        <w:rPr>
          <w:rFonts w:ascii="Source Sans Pro" w:hAnsi="Source Sans Pro"/>
          <w:b/>
        </w:rPr>
        <w:t xml:space="preserve">Personal information </w:t>
      </w:r>
      <w:r w:rsidRPr="00B351B9">
        <w:rPr>
          <w:rFonts w:ascii="Source Sans Pro" w:hAnsi="Source Sans Pro"/>
        </w:rPr>
        <w:t xml:space="preserve">has the meaning given to it in section 3 of </w:t>
      </w:r>
      <w:r w:rsidRPr="00B351B9">
        <w:rPr>
          <w:rFonts w:ascii="Source Sans Pro" w:hAnsi="Source Sans Pro"/>
          <w:i/>
        </w:rPr>
        <w:t xml:space="preserve">the </w:t>
      </w:r>
      <w:hyperlink r:id="rId26">
        <w:r w:rsidRPr="00B351B9">
          <w:rPr>
            <w:rFonts w:ascii="Source Sans Pro" w:hAnsi="Source Sans Pro"/>
            <w:color w:val="0000EE"/>
            <w:u w:val="single"/>
          </w:rPr>
          <w:t xml:space="preserve">Privacy and Data Protection Act 2014 </w:t>
        </w:r>
      </w:hyperlink>
      <w:hyperlink r:id="rId27">
        <w:r w:rsidRPr="00B351B9">
          <w:rPr>
            <w:rFonts w:ascii="Source Sans Pro" w:hAnsi="Source Sans Pro"/>
            <w:color w:val="0000EE"/>
            <w:u w:val="single"/>
          </w:rPr>
          <w:t xml:space="preserve">(Vic) </w:t>
        </w:r>
      </w:hyperlink>
    </w:p>
    <w:p w14:paraId="7ECDA9B3" w14:textId="77777777" w:rsidR="00B0424A" w:rsidRPr="00B351B9" w:rsidRDefault="0078409A">
      <w:pPr>
        <w:spacing w:after="120"/>
        <w:rPr>
          <w:rFonts w:ascii="Source Sans Pro" w:hAnsi="Source Sans Pro"/>
        </w:rPr>
      </w:pPr>
      <w:r w:rsidRPr="00B351B9">
        <w:rPr>
          <w:rFonts w:ascii="Source Sans Pro" w:hAnsi="Source Sans Pro"/>
          <w:b/>
        </w:rPr>
        <w:t xml:space="preserve">Personal data </w:t>
      </w:r>
      <w:r w:rsidRPr="00B351B9">
        <w:rPr>
          <w:rFonts w:ascii="Source Sans Pro" w:hAnsi="Source Sans Pro"/>
        </w:rPr>
        <w:t xml:space="preserve">has the meaning given to it in Article 4 of the European Union General Data Protection Regulation. </w:t>
      </w:r>
    </w:p>
    <w:p w14:paraId="32F446EB" w14:textId="77777777" w:rsidR="00B0424A" w:rsidRPr="00B351B9" w:rsidRDefault="0078409A">
      <w:pPr>
        <w:spacing w:after="120"/>
        <w:rPr>
          <w:rFonts w:ascii="Source Sans Pro" w:hAnsi="Source Sans Pro"/>
        </w:rPr>
      </w:pPr>
      <w:r w:rsidRPr="00B351B9">
        <w:rPr>
          <w:rFonts w:ascii="Source Sans Pro" w:hAnsi="Source Sans Pro"/>
          <w:b/>
        </w:rPr>
        <w:t xml:space="preserve">Privacy by design </w:t>
      </w:r>
      <w:r w:rsidRPr="00B351B9">
        <w:rPr>
          <w:rFonts w:ascii="Source Sans Pro" w:hAnsi="Source Sans Pro"/>
        </w:rPr>
        <w:t xml:space="preserve">means a methodology to build privacy and data protection into the design and architecture of information systems, business processes and networked infrastructure. </w:t>
      </w:r>
    </w:p>
    <w:p w14:paraId="605167D5" w14:textId="77777777" w:rsidR="00B0424A" w:rsidRPr="00B351B9" w:rsidRDefault="0078409A">
      <w:pPr>
        <w:spacing w:after="120"/>
        <w:rPr>
          <w:rFonts w:ascii="Source Sans Pro" w:hAnsi="Source Sans Pro"/>
        </w:rPr>
      </w:pPr>
      <w:r w:rsidRPr="00B351B9">
        <w:rPr>
          <w:rFonts w:ascii="Source Sans Pro" w:hAnsi="Source Sans Pro"/>
          <w:b/>
        </w:rPr>
        <w:t xml:space="preserve">Privacy impact assessment </w:t>
      </w:r>
      <w:r w:rsidRPr="00B351B9">
        <w:rPr>
          <w:rFonts w:ascii="Source Sans Pro" w:hAnsi="Source Sans Pro"/>
        </w:rPr>
        <w:t xml:space="preserve">means a risk analysis tool to identify and mitigate privacy and data protection risks, and to identify and evaluate privacy solutions. </w:t>
      </w:r>
    </w:p>
    <w:p w14:paraId="2E0934A4" w14:textId="77777777" w:rsidR="00B0424A" w:rsidRPr="00B351B9" w:rsidRDefault="0078409A">
      <w:pPr>
        <w:spacing w:after="120"/>
        <w:rPr>
          <w:rFonts w:ascii="Source Sans Pro" w:hAnsi="Source Sans Pro"/>
        </w:rPr>
      </w:pPr>
      <w:r w:rsidRPr="00B351B9">
        <w:rPr>
          <w:rFonts w:ascii="Source Sans Pro" w:hAnsi="Source Sans Pro"/>
          <w:b/>
        </w:rPr>
        <w:t xml:space="preserve">Proactive privacy </w:t>
      </w:r>
      <w:r w:rsidRPr="00B351B9">
        <w:rPr>
          <w:rFonts w:ascii="Source Sans Pro" w:hAnsi="Source Sans Pro"/>
        </w:rPr>
        <w:t xml:space="preserve">means focusing on prevention rather than remediation. </w:t>
      </w:r>
    </w:p>
    <w:p w14:paraId="32353E63" w14:textId="77777777" w:rsidR="00B0424A" w:rsidRPr="00B351B9" w:rsidRDefault="0078409A">
      <w:pPr>
        <w:spacing w:after="120"/>
        <w:rPr>
          <w:rFonts w:ascii="Source Sans Pro" w:hAnsi="Source Sans Pro"/>
        </w:rPr>
      </w:pPr>
      <w:r w:rsidRPr="00B351B9">
        <w:rPr>
          <w:rFonts w:ascii="Source Sans Pro" w:hAnsi="Source Sans Pro"/>
          <w:b/>
        </w:rPr>
        <w:t xml:space="preserve">Sensitive information </w:t>
      </w:r>
      <w:r w:rsidRPr="00B351B9">
        <w:rPr>
          <w:rFonts w:ascii="Source Sans Pro" w:hAnsi="Source Sans Pro"/>
        </w:rPr>
        <w:t xml:space="preserve">has the meaning given to it in schedule 1 of the </w:t>
      </w:r>
      <w:hyperlink r:id="rId28"/>
      <w:hyperlink r:id="rId29">
        <w:r w:rsidRPr="00B351B9">
          <w:rPr>
            <w:rFonts w:ascii="Source Sans Pro" w:hAnsi="Source Sans Pro"/>
            <w:color w:val="0000EE"/>
            <w:u w:val="single"/>
          </w:rPr>
          <w:t xml:space="preserve">Privacy and Data Protection Act 2014 </w:t>
        </w:r>
      </w:hyperlink>
      <w:hyperlink r:id="rId30">
        <w:r w:rsidRPr="00B351B9">
          <w:rPr>
            <w:rFonts w:ascii="Source Sans Pro" w:hAnsi="Source Sans Pro"/>
            <w:color w:val="0000EE"/>
            <w:u w:val="single"/>
          </w:rPr>
          <w:t xml:space="preserve">(Vic) </w:t>
        </w:r>
      </w:hyperlink>
      <w:r w:rsidRPr="00B351B9">
        <w:rPr>
          <w:rFonts w:ascii="Source Sans Pro" w:hAnsi="Source Sans Pro"/>
        </w:rPr>
        <w:t xml:space="preserve">. </w:t>
      </w:r>
    </w:p>
    <w:p w14:paraId="3FA72864" w14:textId="77777777" w:rsidR="00B0424A" w:rsidRPr="00B351B9" w:rsidRDefault="0078409A">
      <w:pPr>
        <w:spacing w:after="120"/>
        <w:rPr>
          <w:rFonts w:ascii="Source Sans Pro" w:hAnsi="Source Sans Pro"/>
        </w:rPr>
      </w:pPr>
      <w:r w:rsidRPr="00B351B9">
        <w:rPr>
          <w:rFonts w:ascii="Source Sans Pro" w:hAnsi="Source Sans Pro"/>
          <w:b/>
        </w:rPr>
        <w:t xml:space="preserve">University record </w:t>
      </w:r>
      <w:r w:rsidRPr="00B351B9">
        <w:rPr>
          <w:rFonts w:ascii="Source Sans Pro" w:hAnsi="Source Sans Pro"/>
        </w:rPr>
        <w:t xml:space="preserve">means recorded information, in any format (eg electronic, paper, image) created or received by staff of the University in the course of conducting their University duties. </w:t>
      </w:r>
    </w:p>
    <w:p w14:paraId="0AC568A9" w14:textId="77777777" w:rsidR="00B0424A" w:rsidRPr="00B351B9" w:rsidRDefault="0078409A">
      <w:pPr>
        <w:pStyle w:val="Heading2"/>
        <w:spacing w:after="120"/>
        <w:rPr>
          <w:rFonts w:ascii="Source Sans Pro" w:hAnsi="Source Sans Pro"/>
        </w:rPr>
      </w:pPr>
      <w:r w:rsidRPr="00B351B9">
        <w:rPr>
          <w:rFonts w:ascii="Source Sans Pro" w:hAnsi="Source Sans Pro"/>
        </w:rPr>
        <w:t xml:space="preserve">POLICY APPROVER </w:t>
      </w:r>
    </w:p>
    <w:p w14:paraId="23B421A1" w14:textId="77777777" w:rsidR="004740FF" w:rsidRPr="004740FF" w:rsidRDefault="004740FF" w:rsidP="004740FF">
      <w:pPr>
        <w:spacing w:after="120"/>
        <w:rPr>
          <w:rFonts w:ascii="Source Sans Pro" w:hAnsi="Source Sans Pro"/>
        </w:rPr>
      </w:pPr>
      <w:r w:rsidRPr="004740FF">
        <w:rPr>
          <w:rFonts w:ascii="Source Sans Pro" w:hAnsi="Source Sans Pro"/>
        </w:rPr>
        <w:t>Vice-President Administration &amp; Finance and Chief Operating Officer</w:t>
      </w:r>
    </w:p>
    <w:p w14:paraId="68E82454" w14:textId="7A51804E" w:rsidR="00B0424A" w:rsidRPr="00B351B9" w:rsidRDefault="0078409A">
      <w:pPr>
        <w:pStyle w:val="Heading2"/>
        <w:spacing w:after="120"/>
        <w:rPr>
          <w:rFonts w:ascii="Source Sans Pro" w:hAnsi="Source Sans Pro"/>
        </w:rPr>
      </w:pPr>
      <w:r w:rsidRPr="00B351B9">
        <w:rPr>
          <w:rFonts w:ascii="Source Sans Pro" w:hAnsi="Source Sans Pro"/>
        </w:rPr>
        <w:lastRenderedPageBreak/>
        <w:t xml:space="preserve">POLICY STEWARD </w:t>
      </w:r>
    </w:p>
    <w:p w14:paraId="2CC686D4" w14:textId="77777777" w:rsidR="00B0424A" w:rsidRPr="00B351B9" w:rsidRDefault="0078409A">
      <w:pPr>
        <w:spacing w:after="120"/>
        <w:rPr>
          <w:rFonts w:ascii="Source Sans Pro" w:hAnsi="Source Sans Pro"/>
        </w:rPr>
      </w:pPr>
      <w:r w:rsidRPr="00B351B9">
        <w:rPr>
          <w:rFonts w:ascii="Source Sans Pro" w:hAnsi="Source Sans Pro"/>
        </w:rPr>
        <w:t xml:space="preserve">University Secretary </w:t>
      </w:r>
    </w:p>
    <w:p w14:paraId="572F4476" w14:textId="77777777" w:rsidR="00B0424A" w:rsidRPr="00B351B9" w:rsidRDefault="0078409A">
      <w:pPr>
        <w:pStyle w:val="Heading2"/>
        <w:spacing w:after="120"/>
        <w:rPr>
          <w:rFonts w:ascii="Source Sans Pro" w:hAnsi="Source Sans Pro"/>
        </w:rPr>
      </w:pPr>
      <w:r w:rsidRPr="00B351B9">
        <w:rPr>
          <w:rFonts w:ascii="Source Sans Pro" w:hAnsi="Source Sans Pro"/>
        </w:rPr>
        <w:t xml:space="preserve">REVIEW </w:t>
      </w:r>
    </w:p>
    <w:p w14:paraId="4B624DB7" w14:textId="77777777" w:rsidR="00B0424A" w:rsidRPr="00B351B9" w:rsidRDefault="0078409A">
      <w:pPr>
        <w:spacing w:after="120"/>
        <w:rPr>
          <w:rFonts w:ascii="Source Sans Pro" w:hAnsi="Source Sans Pro"/>
        </w:rPr>
      </w:pPr>
      <w:r w:rsidRPr="00B351B9">
        <w:rPr>
          <w:rFonts w:ascii="Source Sans Pro" w:hAnsi="Source Sans Pro"/>
        </w:rPr>
        <w:t xml:space="preserve">This policy is to be reviewed by 11 March 2021. </w:t>
      </w:r>
    </w:p>
    <w:p w14:paraId="154C4012" w14:textId="77777777" w:rsidR="00B0424A" w:rsidRPr="00B351B9" w:rsidRDefault="0078409A">
      <w:pPr>
        <w:pStyle w:val="Heading2"/>
        <w:spacing w:after="120"/>
        <w:rPr>
          <w:rFonts w:ascii="Source Sans Pro" w:hAnsi="Source Sans Pro"/>
        </w:rPr>
      </w:pPr>
      <w:r w:rsidRPr="00B351B9">
        <w:rPr>
          <w:rFonts w:ascii="Source Sans Pro" w:hAnsi="Source Sans Pro"/>
        </w:rPr>
        <w:t xml:space="preserve">VERSION HISTORY </w:t>
      </w:r>
    </w:p>
    <w:tbl>
      <w:tblPr>
        <w:tblStyle w:val="TableGrid"/>
        <w:tblW w:w="0" w:type="auto"/>
        <w:tblInd w:w="661" w:type="dxa"/>
        <w:tblLook w:val="04A0" w:firstRow="1" w:lastRow="0" w:firstColumn="1" w:lastColumn="0" w:noHBand="0" w:noVBand="1"/>
      </w:tblPr>
      <w:tblGrid>
        <w:gridCol w:w="1728"/>
        <w:gridCol w:w="1728"/>
        <w:gridCol w:w="1728"/>
        <w:gridCol w:w="1728"/>
        <w:gridCol w:w="1728"/>
      </w:tblGrid>
      <w:tr w:rsidR="00B0424A" w:rsidRPr="00B351B9" w14:paraId="424C1FD7" w14:textId="77777777" w:rsidTr="0078409A">
        <w:tc>
          <w:tcPr>
            <w:tcW w:w="1728" w:type="dxa"/>
          </w:tcPr>
          <w:p w14:paraId="2942BD2B" w14:textId="77777777" w:rsidR="00B0424A" w:rsidRPr="00B351B9" w:rsidRDefault="0078409A" w:rsidP="0078409A">
            <w:pPr>
              <w:spacing w:after="120"/>
              <w:ind w:left="0"/>
              <w:rPr>
                <w:rFonts w:ascii="Source Sans Pro" w:hAnsi="Source Sans Pro"/>
              </w:rPr>
            </w:pPr>
            <w:r w:rsidRPr="00B351B9">
              <w:rPr>
                <w:rFonts w:ascii="Source Sans Pro" w:hAnsi="Source Sans Pro"/>
                <w:b/>
              </w:rPr>
              <w:t xml:space="preserve">Version </w:t>
            </w:r>
          </w:p>
        </w:tc>
        <w:tc>
          <w:tcPr>
            <w:tcW w:w="1728" w:type="dxa"/>
          </w:tcPr>
          <w:p w14:paraId="005FF12B" w14:textId="77777777" w:rsidR="00B0424A" w:rsidRPr="00B351B9" w:rsidRDefault="0078409A" w:rsidP="0078409A">
            <w:pPr>
              <w:spacing w:after="120"/>
              <w:ind w:left="0"/>
              <w:rPr>
                <w:rFonts w:ascii="Source Sans Pro" w:hAnsi="Source Sans Pro"/>
              </w:rPr>
            </w:pPr>
            <w:r w:rsidRPr="00B351B9">
              <w:rPr>
                <w:rFonts w:ascii="Source Sans Pro" w:hAnsi="Source Sans Pro"/>
                <w:b/>
              </w:rPr>
              <w:t xml:space="preserve">Approved By </w:t>
            </w:r>
          </w:p>
        </w:tc>
        <w:tc>
          <w:tcPr>
            <w:tcW w:w="1728" w:type="dxa"/>
          </w:tcPr>
          <w:p w14:paraId="7BB3AA3A" w14:textId="77777777" w:rsidR="00B0424A" w:rsidRPr="00B351B9" w:rsidRDefault="0078409A" w:rsidP="0078409A">
            <w:pPr>
              <w:spacing w:after="120"/>
              <w:ind w:left="0"/>
              <w:rPr>
                <w:rFonts w:ascii="Source Sans Pro" w:hAnsi="Source Sans Pro"/>
              </w:rPr>
            </w:pPr>
            <w:r w:rsidRPr="00B351B9">
              <w:rPr>
                <w:rFonts w:ascii="Source Sans Pro" w:hAnsi="Source Sans Pro"/>
                <w:b/>
              </w:rPr>
              <w:t xml:space="preserve">Approval Date </w:t>
            </w:r>
          </w:p>
        </w:tc>
        <w:tc>
          <w:tcPr>
            <w:tcW w:w="1728" w:type="dxa"/>
          </w:tcPr>
          <w:p w14:paraId="36966856" w14:textId="77777777" w:rsidR="00B0424A" w:rsidRPr="00B351B9" w:rsidRDefault="0078409A" w:rsidP="0078409A">
            <w:pPr>
              <w:spacing w:after="120"/>
              <w:ind w:left="0"/>
              <w:rPr>
                <w:rFonts w:ascii="Source Sans Pro" w:hAnsi="Source Sans Pro"/>
              </w:rPr>
            </w:pPr>
            <w:r w:rsidRPr="00B351B9">
              <w:rPr>
                <w:rFonts w:ascii="Source Sans Pro" w:hAnsi="Source Sans Pro"/>
                <w:b/>
              </w:rPr>
              <w:t xml:space="preserve">Effective Date </w:t>
            </w:r>
          </w:p>
        </w:tc>
        <w:tc>
          <w:tcPr>
            <w:tcW w:w="1728" w:type="dxa"/>
          </w:tcPr>
          <w:p w14:paraId="432D7772" w14:textId="77777777" w:rsidR="00B0424A" w:rsidRPr="00B351B9" w:rsidRDefault="0078409A" w:rsidP="0078409A">
            <w:pPr>
              <w:spacing w:after="120"/>
              <w:ind w:left="0"/>
              <w:rPr>
                <w:rFonts w:ascii="Source Sans Pro" w:hAnsi="Source Sans Pro"/>
              </w:rPr>
            </w:pPr>
            <w:r w:rsidRPr="00B351B9">
              <w:rPr>
                <w:rFonts w:ascii="Source Sans Pro" w:hAnsi="Source Sans Pro"/>
                <w:b/>
              </w:rPr>
              <w:t xml:space="preserve">Sections Modified </w:t>
            </w:r>
          </w:p>
        </w:tc>
      </w:tr>
      <w:tr w:rsidR="00B0424A" w:rsidRPr="00B351B9" w14:paraId="79B14387" w14:textId="77777777" w:rsidTr="0078409A">
        <w:tc>
          <w:tcPr>
            <w:tcW w:w="1728" w:type="dxa"/>
          </w:tcPr>
          <w:p w14:paraId="7D6E4342"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 </w:t>
            </w:r>
          </w:p>
        </w:tc>
        <w:tc>
          <w:tcPr>
            <w:tcW w:w="1728" w:type="dxa"/>
          </w:tcPr>
          <w:p w14:paraId="0A17381C"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Council </w:t>
            </w:r>
          </w:p>
        </w:tc>
        <w:tc>
          <w:tcPr>
            <w:tcW w:w="1728" w:type="dxa"/>
          </w:tcPr>
          <w:p w14:paraId="37D04AD6"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8 October 2012 </w:t>
            </w:r>
          </w:p>
        </w:tc>
        <w:tc>
          <w:tcPr>
            <w:tcW w:w="1728" w:type="dxa"/>
          </w:tcPr>
          <w:p w14:paraId="4CD3C437"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8 October 2012 </w:t>
            </w:r>
          </w:p>
        </w:tc>
        <w:tc>
          <w:tcPr>
            <w:tcW w:w="1728" w:type="dxa"/>
          </w:tcPr>
          <w:p w14:paraId="731B4EF7"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New version arising from the Policy Simplification Project. Loaded into MPL as Version 1. </w:t>
            </w:r>
            <w:r w:rsidRPr="00B351B9">
              <w:rPr>
                <w:rFonts w:ascii="Source Sans Pro" w:hAnsi="Source Sans Pro"/>
              </w:rPr>
              <w:br/>
            </w:r>
          </w:p>
        </w:tc>
      </w:tr>
      <w:tr w:rsidR="00B0424A" w:rsidRPr="00B351B9" w14:paraId="19C669C6" w14:textId="77777777" w:rsidTr="0078409A">
        <w:tc>
          <w:tcPr>
            <w:tcW w:w="1728" w:type="dxa"/>
          </w:tcPr>
          <w:p w14:paraId="20787E2B"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2 </w:t>
            </w:r>
          </w:p>
        </w:tc>
        <w:tc>
          <w:tcPr>
            <w:tcW w:w="1728" w:type="dxa"/>
          </w:tcPr>
          <w:p w14:paraId="498CEF4B"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University Secretary </w:t>
            </w:r>
          </w:p>
        </w:tc>
        <w:tc>
          <w:tcPr>
            <w:tcW w:w="1728" w:type="dxa"/>
          </w:tcPr>
          <w:p w14:paraId="3EC4E883"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23 March 2016 </w:t>
            </w:r>
          </w:p>
        </w:tc>
        <w:tc>
          <w:tcPr>
            <w:tcW w:w="1728" w:type="dxa"/>
          </w:tcPr>
          <w:p w14:paraId="2318C262"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23 March 2016 </w:t>
            </w:r>
          </w:p>
        </w:tc>
        <w:tc>
          <w:tcPr>
            <w:tcW w:w="1728" w:type="dxa"/>
          </w:tcPr>
          <w:p w14:paraId="07E5E672"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Update legislation reference to the Privacy and Data Protection Act 2014 (Vic). </w:t>
            </w:r>
            <w:r w:rsidRPr="00B351B9">
              <w:rPr>
                <w:rFonts w:ascii="Source Sans Pro" w:hAnsi="Source Sans Pro"/>
              </w:rPr>
              <w:br/>
            </w:r>
          </w:p>
        </w:tc>
      </w:tr>
      <w:tr w:rsidR="00B0424A" w:rsidRPr="00B351B9" w14:paraId="56F83BA3" w14:textId="77777777" w:rsidTr="0078409A">
        <w:tc>
          <w:tcPr>
            <w:tcW w:w="1728" w:type="dxa"/>
          </w:tcPr>
          <w:p w14:paraId="6BD499E8"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3 </w:t>
            </w:r>
          </w:p>
        </w:tc>
        <w:tc>
          <w:tcPr>
            <w:tcW w:w="1728" w:type="dxa"/>
          </w:tcPr>
          <w:p w14:paraId="56215656"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Vice-Chancellor </w:t>
            </w:r>
          </w:p>
        </w:tc>
        <w:tc>
          <w:tcPr>
            <w:tcW w:w="1728" w:type="dxa"/>
          </w:tcPr>
          <w:p w14:paraId="57FA0139"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11 March 2016 </w:t>
            </w:r>
          </w:p>
        </w:tc>
        <w:tc>
          <w:tcPr>
            <w:tcW w:w="1728" w:type="dxa"/>
          </w:tcPr>
          <w:p w14:paraId="2D0DDBB3"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21 July 2016 </w:t>
            </w:r>
          </w:p>
        </w:tc>
        <w:tc>
          <w:tcPr>
            <w:tcW w:w="1728" w:type="dxa"/>
          </w:tcPr>
          <w:p w14:paraId="07B21C66"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New version arising from the Policy Consolidation Project. This policy and its supporting processes replace the Privacy Policy and the Privacy Procedure MPF1105. </w:t>
            </w:r>
            <w:r w:rsidRPr="00B351B9">
              <w:rPr>
                <w:rFonts w:ascii="Source Sans Pro" w:hAnsi="Source Sans Pro"/>
              </w:rPr>
              <w:br/>
            </w:r>
          </w:p>
        </w:tc>
      </w:tr>
      <w:tr w:rsidR="00B0424A" w:rsidRPr="00B351B9" w14:paraId="5356A4A7" w14:textId="77777777" w:rsidTr="0078409A">
        <w:tc>
          <w:tcPr>
            <w:tcW w:w="1728" w:type="dxa"/>
          </w:tcPr>
          <w:p w14:paraId="0C14BA1A"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4 </w:t>
            </w:r>
          </w:p>
        </w:tc>
        <w:tc>
          <w:tcPr>
            <w:tcW w:w="1728" w:type="dxa"/>
          </w:tcPr>
          <w:p w14:paraId="123441C7"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University Secretary </w:t>
            </w:r>
          </w:p>
        </w:tc>
        <w:tc>
          <w:tcPr>
            <w:tcW w:w="1728" w:type="dxa"/>
          </w:tcPr>
          <w:p w14:paraId="79CC29F5"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18 August 2016 </w:t>
            </w:r>
          </w:p>
        </w:tc>
        <w:tc>
          <w:tcPr>
            <w:tcW w:w="1728" w:type="dxa"/>
          </w:tcPr>
          <w:p w14:paraId="2872A4D3"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18 August 2016 </w:t>
            </w:r>
          </w:p>
        </w:tc>
        <w:tc>
          <w:tcPr>
            <w:tcW w:w="1728" w:type="dxa"/>
          </w:tcPr>
          <w:p w14:paraId="512A0034"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Add hyperlink to Privacy Impact Assessment in section 5.2. </w:t>
            </w:r>
            <w:r w:rsidRPr="00B351B9">
              <w:rPr>
                <w:rFonts w:ascii="Source Sans Pro" w:hAnsi="Source Sans Pro"/>
              </w:rPr>
              <w:br/>
            </w:r>
          </w:p>
        </w:tc>
      </w:tr>
      <w:tr w:rsidR="00B0424A" w:rsidRPr="00B351B9" w14:paraId="53334E6D" w14:textId="77777777" w:rsidTr="0078409A">
        <w:tc>
          <w:tcPr>
            <w:tcW w:w="1728" w:type="dxa"/>
          </w:tcPr>
          <w:p w14:paraId="3DF78BBC"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5 </w:t>
            </w:r>
          </w:p>
        </w:tc>
        <w:tc>
          <w:tcPr>
            <w:tcW w:w="1728" w:type="dxa"/>
          </w:tcPr>
          <w:p w14:paraId="5CB888CE"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University Secretary </w:t>
            </w:r>
          </w:p>
        </w:tc>
        <w:tc>
          <w:tcPr>
            <w:tcW w:w="1728" w:type="dxa"/>
          </w:tcPr>
          <w:p w14:paraId="2E653B0D"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13 September 2016 </w:t>
            </w:r>
          </w:p>
        </w:tc>
        <w:tc>
          <w:tcPr>
            <w:tcW w:w="1728" w:type="dxa"/>
          </w:tcPr>
          <w:p w14:paraId="7C9730FE"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5 October 2016 </w:t>
            </w:r>
          </w:p>
        </w:tc>
        <w:tc>
          <w:tcPr>
            <w:tcW w:w="1728" w:type="dxa"/>
          </w:tcPr>
          <w:p w14:paraId="4F3F8738"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Update hyperlink to Privacy Impact Assessment in section 5.2. </w:t>
            </w:r>
            <w:r w:rsidRPr="00B351B9">
              <w:rPr>
                <w:rFonts w:ascii="Source Sans Pro" w:hAnsi="Source Sans Pro"/>
              </w:rPr>
              <w:br/>
              <w:t xml:space="preserve">Correct error identified in </w:t>
            </w:r>
            <w:r w:rsidRPr="00B351B9">
              <w:rPr>
                <w:rFonts w:ascii="Source Sans Pro" w:hAnsi="Source Sans Pro"/>
              </w:rPr>
              <w:lastRenderedPageBreak/>
              <w:t xml:space="preserve">version history table. </w:t>
            </w:r>
          </w:p>
        </w:tc>
      </w:tr>
      <w:tr w:rsidR="00B0424A" w:rsidRPr="00B351B9" w14:paraId="1BB4F898" w14:textId="77777777" w:rsidTr="0078409A">
        <w:tc>
          <w:tcPr>
            <w:tcW w:w="1728" w:type="dxa"/>
          </w:tcPr>
          <w:p w14:paraId="725498B1" w14:textId="77777777" w:rsidR="00B0424A" w:rsidRPr="00B351B9" w:rsidRDefault="0078409A" w:rsidP="0078409A">
            <w:pPr>
              <w:spacing w:after="120"/>
              <w:ind w:left="0"/>
              <w:rPr>
                <w:rFonts w:ascii="Source Sans Pro" w:hAnsi="Source Sans Pro"/>
              </w:rPr>
            </w:pPr>
            <w:r w:rsidRPr="00B351B9">
              <w:rPr>
                <w:rFonts w:ascii="Source Sans Pro" w:hAnsi="Source Sans Pro"/>
              </w:rPr>
              <w:lastRenderedPageBreak/>
              <w:t xml:space="preserve">6 </w:t>
            </w:r>
          </w:p>
        </w:tc>
        <w:tc>
          <w:tcPr>
            <w:tcW w:w="1728" w:type="dxa"/>
          </w:tcPr>
          <w:p w14:paraId="3272AA20"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Vice-Chancellor </w:t>
            </w:r>
          </w:p>
        </w:tc>
        <w:tc>
          <w:tcPr>
            <w:tcW w:w="1728" w:type="dxa"/>
          </w:tcPr>
          <w:p w14:paraId="73F54FC9"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7 March 2019 </w:t>
            </w:r>
          </w:p>
        </w:tc>
        <w:tc>
          <w:tcPr>
            <w:tcW w:w="1728" w:type="dxa"/>
          </w:tcPr>
          <w:p w14:paraId="2502BAC5"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19 August 2019 </w:t>
            </w:r>
          </w:p>
        </w:tc>
        <w:tc>
          <w:tcPr>
            <w:tcW w:w="1728" w:type="dxa"/>
          </w:tcPr>
          <w:p w14:paraId="74C3EF01"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Changed Policy Approver to Vice-President (Strategy &amp; Culture) (previously Vice-Chancellor). </w:t>
            </w:r>
          </w:p>
        </w:tc>
      </w:tr>
      <w:tr w:rsidR="00B0424A" w:rsidRPr="00B351B9" w14:paraId="20AA1D9C" w14:textId="77777777" w:rsidTr="0078409A">
        <w:tc>
          <w:tcPr>
            <w:tcW w:w="1728" w:type="dxa"/>
          </w:tcPr>
          <w:p w14:paraId="08B1A32F"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7 </w:t>
            </w:r>
          </w:p>
        </w:tc>
        <w:tc>
          <w:tcPr>
            <w:tcW w:w="1728" w:type="dxa"/>
          </w:tcPr>
          <w:p w14:paraId="21CDEBE3"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Vice-President (Strategy &amp; Culture) </w:t>
            </w:r>
          </w:p>
        </w:tc>
        <w:tc>
          <w:tcPr>
            <w:tcW w:w="1728" w:type="dxa"/>
          </w:tcPr>
          <w:p w14:paraId="73DF2493"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16 August 2019 </w:t>
            </w:r>
          </w:p>
        </w:tc>
        <w:tc>
          <w:tcPr>
            <w:tcW w:w="1728" w:type="dxa"/>
          </w:tcPr>
          <w:p w14:paraId="528B15AF"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19 August 2019 </w:t>
            </w:r>
          </w:p>
        </w:tc>
        <w:tc>
          <w:tcPr>
            <w:tcW w:w="1728" w:type="dxa"/>
          </w:tcPr>
          <w:p w14:paraId="3CCBC533" w14:textId="77777777" w:rsidR="00B0424A" w:rsidRPr="00B351B9" w:rsidRDefault="00B0424A" w:rsidP="0078409A">
            <w:pPr>
              <w:spacing w:after="120"/>
              <w:ind w:left="0"/>
              <w:rPr>
                <w:rFonts w:ascii="Source Sans Pro" w:hAnsi="Source Sans Pro"/>
              </w:rPr>
            </w:pPr>
          </w:p>
          <w:p w14:paraId="7058FB35" w14:textId="77777777" w:rsidR="00B0424A" w:rsidRPr="00B351B9" w:rsidRDefault="0078409A" w:rsidP="0078409A">
            <w:pPr>
              <w:spacing w:after="120"/>
              <w:ind w:left="0"/>
              <w:rPr>
                <w:rFonts w:ascii="Source Sans Pro" w:hAnsi="Source Sans Pro"/>
              </w:rPr>
            </w:pPr>
            <w:r w:rsidRPr="00B351B9">
              <w:rPr>
                <w:rFonts w:ascii="Source Sans Pro" w:hAnsi="Source Sans Pro"/>
              </w:rPr>
              <w:t xml:space="preserve">Incorporated new provisions relating to the European Union General Data Protection Regulation and Commonwealth Notifiable Data Breaches scheme. </w:t>
            </w:r>
            <w:r w:rsidRPr="00B351B9">
              <w:rPr>
                <w:rFonts w:ascii="Source Sans Pro" w:hAnsi="Source Sans Pro"/>
              </w:rPr>
              <w:br/>
              <w:t xml:space="preserve">Amended Policy Steward title. </w:t>
            </w:r>
            <w:r w:rsidRPr="00B351B9">
              <w:rPr>
                <w:rFonts w:ascii="Source Sans Pro" w:hAnsi="Source Sans Pro"/>
              </w:rPr>
              <w:br/>
              <w:t xml:space="preserve">Editorial amendments to correct minor errors or align with the University’s policy style guide. </w:t>
            </w:r>
          </w:p>
        </w:tc>
      </w:tr>
      <w:tr w:rsidR="001D1D54" w:rsidRPr="00B351B9" w14:paraId="32EA00B6" w14:textId="77777777" w:rsidTr="0078409A">
        <w:tc>
          <w:tcPr>
            <w:tcW w:w="1728" w:type="dxa"/>
          </w:tcPr>
          <w:p w14:paraId="393EBF2A" w14:textId="77777777" w:rsidR="001D1D54" w:rsidRPr="00B351B9" w:rsidRDefault="001D1D54" w:rsidP="0078409A">
            <w:pPr>
              <w:spacing w:after="120"/>
              <w:ind w:left="0"/>
              <w:rPr>
                <w:rFonts w:ascii="Source Sans Pro" w:hAnsi="Source Sans Pro"/>
              </w:rPr>
            </w:pPr>
            <w:r w:rsidRPr="00B351B9">
              <w:rPr>
                <w:rFonts w:ascii="Source Sans Pro" w:hAnsi="Source Sans Pro"/>
              </w:rPr>
              <w:t>8</w:t>
            </w:r>
          </w:p>
        </w:tc>
        <w:tc>
          <w:tcPr>
            <w:tcW w:w="1728" w:type="dxa"/>
          </w:tcPr>
          <w:p w14:paraId="373891C3" w14:textId="77777777" w:rsidR="001D1D54" w:rsidRPr="00B351B9" w:rsidRDefault="001D1D54" w:rsidP="0078409A">
            <w:pPr>
              <w:spacing w:after="120"/>
              <w:ind w:left="0"/>
              <w:rPr>
                <w:rFonts w:ascii="Source Sans Pro" w:hAnsi="Source Sans Pro"/>
              </w:rPr>
            </w:pPr>
            <w:r w:rsidRPr="00B351B9">
              <w:rPr>
                <w:rFonts w:ascii="Source Sans Pro" w:hAnsi="Source Sans Pro"/>
              </w:rPr>
              <w:t>Policy Officer</w:t>
            </w:r>
          </w:p>
        </w:tc>
        <w:tc>
          <w:tcPr>
            <w:tcW w:w="1728" w:type="dxa"/>
          </w:tcPr>
          <w:p w14:paraId="103CC813" w14:textId="77777777" w:rsidR="001D1D54" w:rsidRPr="00B351B9" w:rsidRDefault="0078409A" w:rsidP="0078409A">
            <w:pPr>
              <w:spacing w:after="120"/>
              <w:ind w:left="0"/>
              <w:rPr>
                <w:rFonts w:ascii="Source Sans Pro" w:hAnsi="Source Sans Pro"/>
              </w:rPr>
            </w:pPr>
            <w:r w:rsidRPr="00B351B9">
              <w:rPr>
                <w:rFonts w:ascii="Source Sans Pro" w:hAnsi="Source Sans Pro"/>
              </w:rPr>
              <w:t>30</w:t>
            </w:r>
            <w:r w:rsidR="001D1D54" w:rsidRPr="00B351B9">
              <w:rPr>
                <w:rFonts w:ascii="Source Sans Pro" w:hAnsi="Source Sans Pro"/>
              </w:rPr>
              <w:t xml:space="preserve"> November 2022</w:t>
            </w:r>
          </w:p>
        </w:tc>
        <w:tc>
          <w:tcPr>
            <w:tcW w:w="1728" w:type="dxa"/>
          </w:tcPr>
          <w:p w14:paraId="06D43967" w14:textId="77777777" w:rsidR="001D1D54" w:rsidRPr="00B351B9" w:rsidRDefault="0078409A" w:rsidP="0078409A">
            <w:pPr>
              <w:spacing w:after="120"/>
              <w:ind w:left="0"/>
              <w:rPr>
                <w:rFonts w:ascii="Source Sans Pro" w:hAnsi="Source Sans Pro"/>
              </w:rPr>
            </w:pPr>
            <w:r w:rsidRPr="00B351B9">
              <w:rPr>
                <w:rFonts w:ascii="Source Sans Pro" w:hAnsi="Source Sans Pro"/>
              </w:rPr>
              <w:t>30</w:t>
            </w:r>
            <w:r w:rsidR="001D1D54" w:rsidRPr="00B351B9">
              <w:rPr>
                <w:rFonts w:ascii="Source Sans Pro" w:hAnsi="Source Sans Pro"/>
              </w:rPr>
              <w:t xml:space="preserve"> November 2022</w:t>
            </w:r>
          </w:p>
        </w:tc>
        <w:tc>
          <w:tcPr>
            <w:tcW w:w="1728" w:type="dxa"/>
          </w:tcPr>
          <w:p w14:paraId="16AAD640" w14:textId="77777777" w:rsidR="001D1D54" w:rsidRPr="00B351B9" w:rsidRDefault="001D1D54" w:rsidP="0078409A">
            <w:pPr>
              <w:spacing w:after="120"/>
              <w:ind w:left="0"/>
              <w:rPr>
                <w:rFonts w:ascii="Source Sans Pro" w:hAnsi="Source Sans Pro"/>
              </w:rPr>
            </w:pPr>
            <w:r w:rsidRPr="00B351B9">
              <w:rPr>
                <w:rFonts w:ascii="Source Sans Pro" w:hAnsi="Source Sans Pro"/>
              </w:rPr>
              <w:t>Formatting changes.</w:t>
            </w:r>
          </w:p>
        </w:tc>
      </w:tr>
      <w:tr w:rsidR="004740FF" w:rsidRPr="00B351B9" w14:paraId="386B10F2" w14:textId="77777777" w:rsidTr="0078409A">
        <w:tc>
          <w:tcPr>
            <w:tcW w:w="1728" w:type="dxa"/>
          </w:tcPr>
          <w:p w14:paraId="36DF5D4E" w14:textId="18770093" w:rsidR="004740FF" w:rsidRPr="00B351B9" w:rsidRDefault="004740FF" w:rsidP="0078409A">
            <w:pPr>
              <w:spacing w:after="120"/>
              <w:ind w:left="0"/>
              <w:rPr>
                <w:rFonts w:ascii="Source Sans Pro" w:hAnsi="Source Sans Pro"/>
              </w:rPr>
            </w:pPr>
            <w:r>
              <w:rPr>
                <w:rFonts w:ascii="Source Sans Pro" w:hAnsi="Source Sans Pro"/>
              </w:rPr>
              <w:t>9</w:t>
            </w:r>
          </w:p>
        </w:tc>
        <w:tc>
          <w:tcPr>
            <w:tcW w:w="1728" w:type="dxa"/>
          </w:tcPr>
          <w:p w14:paraId="320B5BCB" w14:textId="0ACA1F81" w:rsidR="004740FF" w:rsidRPr="004740FF" w:rsidRDefault="004740FF" w:rsidP="0078409A">
            <w:pPr>
              <w:spacing w:after="120"/>
              <w:ind w:left="0"/>
              <w:rPr>
                <w:rFonts w:ascii="Source Sans Pro" w:hAnsi="Source Sans Pro"/>
              </w:rPr>
            </w:pPr>
            <w:r w:rsidRPr="004740FF">
              <w:rPr>
                <w:rFonts w:ascii="Source Sans Pro" w:hAnsi="Source Sans Pro"/>
                <w:color w:val="212529"/>
                <w:shd w:val="clear" w:color="auto" w:fill="FFFFFF"/>
              </w:rPr>
              <w:t>Vice-President Administration &amp; Finance and Chief Operating Officer</w:t>
            </w:r>
          </w:p>
        </w:tc>
        <w:tc>
          <w:tcPr>
            <w:tcW w:w="1728" w:type="dxa"/>
          </w:tcPr>
          <w:p w14:paraId="78CD4825" w14:textId="7FCA9D18" w:rsidR="004740FF" w:rsidRPr="00B351B9" w:rsidRDefault="0044335E" w:rsidP="0078409A">
            <w:pPr>
              <w:spacing w:after="120"/>
              <w:ind w:left="0"/>
              <w:rPr>
                <w:rFonts w:ascii="Source Sans Pro" w:hAnsi="Source Sans Pro"/>
              </w:rPr>
            </w:pPr>
            <w:r>
              <w:rPr>
                <w:rFonts w:ascii="Source Sans Pro" w:hAnsi="Source Sans Pro"/>
              </w:rPr>
              <w:t>10 August</w:t>
            </w:r>
            <w:r w:rsidR="004740FF">
              <w:rPr>
                <w:rFonts w:ascii="Source Sans Pro" w:hAnsi="Source Sans Pro"/>
              </w:rPr>
              <w:t xml:space="preserve"> 2023</w:t>
            </w:r>
          </w:p>
        </w:tc>
        <w:tc>
          <w:tcPr>
            <w:tcW w:w="1728" w:type="dxa"/>
          </w:tcPr>
          <w:p w14:paraId="7655A5A1" w14:textId="11E5B087" w:rsidR="004740FF" w:rsidRPr="00B351B9" w:rsidRDefault="004740FF" w:rsidP="0078409A">
            <w:pPr>
              <w:spacing w:after="120"/>
              <w:ind w:left="0"/>
              <w:rPr>
                <w:rFonts w:ascii="Source Sans Pro" w:hAnsi="Source Sans Pro"/>
              </w:rPr>
            </w:pPr>
            <w:r>
              <w:rPr>
                <w:rFonts w:ascii="Source Sans Pro" w:hAnsi="Source Sans Pro"/>
              </w:rPr>
              <w:t>28 November 2023</w:t>
            </w:r>
          </w:p>
        </w:tc>
        <w:tc>
          <w:tcPr>
            <w:tcW w:w="1728" w:type="dxa"/>
          </w:tcPr>
          <w:p w14:paraId="4EC00ACC" w14:textId="23305E59" w:rsidR="004740FF" w:rsidRPr="00B351B9" w:rsidRDefault="004740FF" w:rsidP="0078409A">
            <w:pPr>
              <w:spacing w:after="120"/>
              <w:ind w:left="0"/>
              <w:rPr>
                <w:rFonts w:ascii="Source Sans Pro" w:hAnsi="Source Sans Pro"/>
              </w:rPr>
            </w:pPr>
            <w:r>
              <w:rPr>
                <w:rFonts w:ascii="Source Sans Pro" w:hAnsi="Source Sans Pro"/>
              </w:rPr>
              <w:t xml:space="preserve">Policy Approver updated to reflect retirement of Vice-President (Strategy &amp; Culture) role. </w:t>
            </w:r>
          </w:p>
        </w:tc>
      </w:tr>
    </w:tbl>
    <w:p w14:paraId="562A0714" w14:textId="77777777" w:rsidR="00B0424A" w:rsidRPr="00B351B9" w:rsidRDefault="00B0424A">
      <w:pPr>
        <w:spacing w:after="120"/>
        <w:rPr>
          <w:rFonts w:ascii="Source Sans Pro" w:hAnsi="Source Sans Pro"/>
        </w:rPr>
      </w:pPr>
    </w:p>
    <w:p w14:paraId="255E769D" w14:textId="77777777" w:rsidR="001D1D54" w:rsidRPr="00B351B9" w:rsidRDefault="001D1D54">
      <w:pPr>
        <w:spacing w:after="120"/>
        <w:rPr>
          <w:rFonts w:ascii="Source Sans Pro" w:hAnsi="Source Sans Pro"/>
        </w:rPr>
      </w:pPr>
    </w:p>
    <w:sectPr w:rsidR="001D1D54" w:rsidRPr="00B351B9" w:rsidSect="00034616">
      <w:footerReference w:type="default" r:id="rId31"/>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A5D6" w14:textId="77777777" w:rsidR="004F3AE6" w:rsidRDefault="004F3AE6">
      <w:pPr>
        <w:spacing w:after="120" w:line="240" w:lineRule="auto"/>
      </w:pPr>
      <w:r>
        <w:separator/>
      </w:r>
    </w:p>
  </w:endnote>
  <w:endnote w:type="continuationSeparator" w:id="0">
    <w:p w14:paraId="5B619886" w14:textId="77777777" w:rsidR="004F3AE6" w:rsidRDefault="004F3AE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9B95" w14:textId="77777777" w:rsidR="00B0424A" w:rsidRDefault="0078409A">
    <w:pPr>
      <w:pStyle w:val="Footer"/>
      <w:spacing w:after="120"/>
      <w:jc w:val="right"/>
    </w:pPr>
    <w:r>
      <w:t xml:space="preserve">Page </w:t>
    </w:r>
    <w:r>
      <w:fldChar w:fldCharType="begin"/>
    </w:r>
    <w:r>
      <w:instrText>PAGE</w:instrText>
    </w:r>
    <w:r>
      <w:fldChar w:fldCharType="separate"/>
    </w:r>
    <w:r w:rsidR="00276429">
      <w:rPr>
        <w:noProof/>
      </w:rPr>
      <w:t>1</w:t>
    </w:r>
    <w:r>
      <w:fldChar w:fldCharType="end"/>
    </w:r>
    <w:r>
      <w:t xml:space="preserve"> of </w:t>
    </w:r>
    <w:r>
      <w:fldChar w:fldCharType="begin"/>
    </w:r>
    <w:r>
      <w:instrText>NUMPAGES</w:instrText>
    </w:r>
    <w:r>
      <w:fldChar w:fldCharType="separate"/>
    </w:r>
    <w:r w:rsidR="002764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8FD4" w14:textId="77777777" w:rsidR="004F3AE6" w:rsidRDefault="004F3AE6">
      <w:pPr>
        <w:spacing w:after="120" w:line="240" w:lineRule="auto"/>
      </w:pPr>
      <w:r>
        <w:separator/>
      </w:r>
    </w:p>
  </w:footnote>
  <w:footnote w:type="continuationSeparator" w:id="0">
    <w:p w14:paraId="36D27ED8" w14:textId="77777777" w:rsidR="004F3AE6" w:rsidRDefault="004F3AE6">
      <w:pPr>
        <w:spacing w:after="12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6F6F03"/>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FE68C2"/>
    <w:multiLevelType w:val="hybridMultilevel"/>
    <w:tmpl w:val="75EE8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52C20"/>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DE72B2"/>
    <w:multiLevelType w:val="multilevel"/>
    <w:tmpl w:val="57246454"/>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4936407">
    <w:abstractNumId w:val="8"/>
  </w:num>
  <w:num w:numId="2" w16cid:durableId="1960404902">
    <w:abstractNumId w:val="6"/>
  </w:num>
  <w:num w:numId="3" w16cid:durableId="1878808485">
    <w:abstractNumId w:val="5"/>
  </w:num>
  <w:num w:numId="4" w16cid:durableId="985206180">
    <w:abstractNumId w:val="4"/>
  </w:num>
  <w:num w:numId="5" w16cid:durableId="1021318870">
    <w:abstractNumId w:val="7"/>
  </w:num>
  <w:num w:numId="6" w16cid:durableId="36897662">
    <w:abstractNumId w:val="3"/>
  </w:num>
  <w:num w:numId="7" w16cid:durableId="1806699813">
    <w:abstractNumId w:val="2"/>
  </w:num>
  <w:num w:numId="8" w16cid:durableId="261769626">
    <w:abstractNumId w:val="1"/>
  </w:num>
  <w:num w:numId="9" w16cid:durableId="395907032">
    <w:abstractNumId w:val="0"/>
  </w:num>
  <w:num w:numId="10" w16cid:durableId="1155142426">
    <w:abstractNumId w:val="9"/>
  </w:num>
  <w:num w:numId="11" w16cid:durableId="1484003343">
    <w:abstractNumId w:val="10"/>
  </w:num>
  <w:num w:numId="12" w16cid:durableId="198475299">
    <w:abstractNumId w:val="11"/>
  </w:num>
  <w:num w:numId="13" w16cid:durableId="857308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070"/>
    <w:rsid w:val="0006063C"/>
    <w:rsid w:val="0015074B"/>
    <w:rsid w:val="00172409"/>
    <w:rsid w:val="001D1D54"/>
    <w:rsid w:val="001F2C7E"/>
    <w:rsid w:val="00276429"/>
    <w:rsid w:val="0029639D"/>
    <w:rsid w:val="00326F90"/>
    <w:rsid w:val="00365AEA"/>
    <w:rsid w:val="0044335E"/>
    <w:rsid w:val="004740FF"/>
    <w:rsid w:val="004A53D3"/>
    <w:rsid w:val="004F3AE6"/>
    <w:rsid w:val="00591367"/>
    <w:rsid w:val="006F4050"/>
    <w:rsid w:val="0074374D"/>
    <w:rsid w:val="0078409A"/>
    <w:rsid w:val="008F0B95"/>
    <w:rsid w:val="00AA1D8D"/>
    <w:rsid w:val="00B0424A"/>
    <w:rsid w:val="00B351B9"/>
    <w:rsid w:val="00B47730"/>
    <w:rsid w:val="00B7098D"/>
    <w:rsid w:val="00BD6D39"/>
    <w:rsid w:val="00C77062"/>
    <w:rsid w:val="00CB0664"/>
    <w:rsid w:val="00D845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400DA"/>
  <w14:defaultImageDpi w14:val="300"/>
  <w15:docId w15:val="{5597D757-F0F2-D948-BCAE-BB9A131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Lines="50" w:after="50"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imelb.edu.au/governance/compliance/privacy" TargetMode="External"/><Relationship Id="rId18" Type="http://schemas.openxmlformats.org/officeDocument/2006/relationships/hyperlink" Target="http://www.legislation.vic.gov.au/domino/Web_notes/LDMS/PubLawToday.nsf/95c43dd4eac71a68ca256dde00056e7b/aecfcd22da688fd1ca256e5b000379da!OpenDocument" TargetMode="External"/><Relationship Id="rId26" Type="http://schemas.openxmlformats.org/officeDocument/2006/relationships/hyperlink" Target="http://www.legislation.vic.gov.au/domino/web_notes/ldms/pubstatbook.nsf/f932b66241ecf1b7ca256e92000e23be/05CC92B3F8CB6A6BCA257D4700209220/$FILE/14-060aa%20authorised.pdf" TargetMode="External"/><Relationship Id="rId3" Type="http://schemas.openxmlformats.org/officeDocument/2006/relationships/styles" Target="styles.xml"/><Relationship Id="rId21" Type="http://schemas.openxmlformats.org/officeDocument/2006/relationships/hyperlink" Target="http://www.legislation.vic.gov.au/domino/Web_notes/LDMS/PubLawToday.nsf/95c43dd4eac71a68ca256dde00056e7b/aecfcd22da688fd1ca256e5b000379da!OpenDocument" TargetMode="External"/><Relationship Id="rId7" Type="http://schemas.openxmlformats.org/officeDocument/2006/relationships/endnotes" Target="endnotes.xml"/><Relationship Id="rId12" Type="http://schemas.openxmlformats.org/officeDocument/2006/relationships/hyperlink" Target="https://about.unimelb.edu.au/strategy/governance/compliance-obligations/privacy/privacy-impact-assessments" TargetMode="External"/><Relationship Id="rId17" Type="http://schemas.openxmlformats.org/officeDocument/2006/relationships/hyperlink" Target="http://www.legislation.vic.gov.au/domino/Web_notes/LDMS/PubLawToday.nsf/95c43dd4eac71a68ca256dde00056e7b/aecfcd22da688fd1ca256e5b000379da!OpenDocument" TargetMode="External"/><Relationship Id="rId25" Type="http://schemas.openxmlformats.org/officeDocument/2006/relationships/hyperlink" Target="http://www.legislation.vic.gov.au/domino/web_notes/ldms/pubstatbook.nsf/f932b66241ecf1b7ca256e92000e23be/05CC92B3F8CB6A6BCA257D4700209220/$FILE/14-060aa%20authorised.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au/Details/C2014C00076" TargetMode="External"/><Relationship Id="rId20" Type="http://schemas.openxmlformats.org/officeDocument/2006/relationships/hyperlink" Target="http://www.legislation.vic.gov.au/domino/Web_notes/LDMS/PubLawToday.nsf/95c43dd4eac71a68ca256dde00056e7b/aecfcd22da688fd1ca256e5b000379da!OpenDocument" TargetMode="External"/><Relationship Id="rId29" Type="http://schemas.openxmlformats.org/officeDocument/2006/relationships/hyperlink" Target="http://www.legislation.vic.gov.au/domino/web_notes/ldms/pubstatbook.nsf/f932b66241ecf1b7ca256e92000e23be/05CC92B3F8CB6A6BCA257D4700209220/$FILE/14-060aa%20authoris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elb.edu.au/governance/statutes" TargetMode="External"/><Relationship Id="rId24" Type="http://schemas.openxmlformats.org/officeDocument/2006/relationships/hyperlink" Target="http://www.legislation.vic.gov.au/domino/web_notes/ldms/pubstatbook.nsf/f932b66241ecf1b7ca256e92000e23be/05CC92B3F8CB6A6BCA257D4700209220/$FILE/14-060aa%20authorise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C2014C00076" TargetMode="External"/><Relationship Id="rId23" Type="http://schemas.openxmlformats.org/officeDocument/2006/relationships/hyperlink" Target="http://www.legislation.vic.gov.au/domino/web_notes/ldms/pubstatbook.nsf/f932b66241ecf1b7ca256e92000e23be/05CC92B3F8CB6A6BCA257D4700209220/$FILE/14-060aa%20authorised.pdf" TargetMode="External"/><Relationship Id="rId28" Type="http://schemas.openxmlformats.org/officeDocument/2006/relationships/hyperlink" Target="http://www.legislation.vic.gov.au/domino/web_notes/ldms/pubstatbook.nsf/f932b66241ecf1b7ca256e92000e23be/05CC92B3F8CB6A6BCA257D4700209220/$FILE/14-060aa%20authorised.pdf" TargetMode="External"/><Relationship Id="rId10" Type="http://schemas.openxmlformats.org/officeDocument/2006/relationships/hyperlink" Target="http://www.legislation.vic.gov.au/domino/web_notes/ldms/pubstatbook.nsf/edfb620cf7503d1aca256da4001b08af/489fcdb5278f3602ca25767f00102b11/$file/09-078a.pdf" TargetMode="External"/><Relationship Id="rId19" Type="http://schemas.openxmlformats.org/officeDocument/2006/relationships/hyperlink" Target="http://www.legislation.vic.gov.au/domino/Web_notes/LDMS/PubLawToday.nsf/95c43dd4eac71a68ca256dde00056e7b/aecfcd22da688fd1ca256e5b000379da!OpenDocume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vic.gov.au/domino/web_notes/ldms/pubstatbook.nsf/edfb620cf7503d1aca256da4001b08af/489fcdb5278f3602ca25767f00102b11/$file/09-078a.pdf" TargetMode="External"/><Relationship Id="rId14" Type="http://schemas.openxmlformats.org/officeDocument/2006/relationships/hyperlink" Target="https://www.legislation.gov.au/Details/C2014C00076" TargetMode="External"/><Relationship Id="rId22" Type="http://schemas.openxmlformats.org/officeDocument/2006/relationships/hyperlink" Target="http://www.legislation.vic.gov.au/domino/Web_notes/LDMS/PubLawToday.nsf/95c43dd4eac71a68ca256dde00056e7b/aecfcd22da688fd1ca256e5b000379da!OpenDocument" TargetMode="External"/><Relationship Id="rId27" Type="http://schemas.openxmlformats.org/officeDocument/2006/relationships/hyperlink" Target="http://www.legislation.vic.gov.au/domino/web_notes/ldms/pubstatbook.nsf/f932b66241ecf1b7ca256e92000e23be/05CC92B3F8CB6A6BCA257D4700209220/$FILE/14-060aa%20authorised.pdf" TargetMode="External"/><Relationship Id="rId30" Type="http://schemas.openxmlformats.org/officeDocument/2006/relationships/hyperlink" Target="http://www.legislation.vic.gov.au/domino/web_notes/ldms/pubstatbook.nsf/f932b66241ecf1b7ca256e92000e23be/05CC92B3F8CB6A6BCA257D4700209220/$FILE/14-060aa%20authorised.pdf" TargetMode="External"/><Relationship Id="rId8" Type="http://schemas.openxmlformats.org/officeDocument/2006/relationships/hyperlink" Target="http://www.legislation.vic.gov.au/domino/web_notes/ldms/pubstatbook.nsf/edfb620cf7503d1aca256da4001b08af/489fcdb5278f3602ca25767f00102b11/$file/09-078a.pdf" TargetMode="External"/><Relationship Id="rId34" Type="http://schemas.openxmlformats.org/officeDocument/2006/relationships/hyperlink" Target="https://policy.unimelb.edu.au/category/Governance and Management/" TargetMode="External"/><Relationship Id="rId35" Type="http://schemas.openxmlformats.org/officeDocument/2006/relationships/hyperlink" Target="https://au.promapp.com/unimelb/Process/Group/bb71f4d6-cfdb-464b-9661-1a6a909872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2023-11-27T22:52:00Z</dcterms:created>
  <dcterms:modified xsi:type="dcterms:W3CDTF">2023-11-27T22:53:00Z</dcterms:modified>
  <cp:category/>
</cp:coreProperties>
</file>