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r>
        <w:rPr>
          <w:b/>
        </w:rPr>
        <w:t>Procurement Policy (MPF1087)</w:t>
      </w:r>
    </w:p>
    <w:p>
      <w:r/>
    </w:p>
    <w:p>
      <w:r>
        <w:rPr>
          <w:rFonts w:ascii="Source Sans Pro" w:hAnsi="Source Sans Pro"/>
          <w:b/>
          <w:sz w:val="20"/>
        </w:rPr>
        <w:t xml:space="preserve">Category: </w:t>
      </w:r>
      <w:r/>
      <w:hyperlink r:id="rId15">
        <w:r>
          <w:rPr>
            <w:color w:val="0000FF"/>
            <w:u w:val="single"/>
          </w:rPr>
          <w:t xml:space="preserve"> Finance and Procurement </w:t>
        </w:r>
      </w:hyperlink>
      <w:r/>
      <w:r>
        <w:br/>
      </w:r>
      <w:r>
        <w:rPr>
          <w:rFonts w:ascii="Source Sans Pro" w:hAnsi="Source Sans Pro"/>
          <w:b/>
          <w:sz w:val="20"/>
        </w:rPr>
        <w:t xml:space="preserve">Version: </w:t>
      </w:r>
      <w:r>
        <w:rPr>
          <w:rFonts w:ascii="Source Sans Pro" w:hAnsi="Source Sans Pro"/>
          <w:sz w:val="20"/>
        </w:rPr>
        <w:t>7</w:t>
        <w:br/>
      </w:r>
      <w:r>
        <w:rPr>
          <w:rFonts w:ascii="Source Sans Pro" w:hAnsi="Source Sans Pro"/>
          <w:b/>
          <w:sz w:val="20"/>
        </w:rPr>
        <w:t xml:space="preserve">Document Type: </w:t>
      </w:r>
      <w:r>
        <w:rPr>
          <w:rFonts w:ascii="Source Sans Pro" w:hAnsi="Source Sans Pro"/>
          <w:sz w:val="20"/>
        </w:rPr>
        <w:t>Policy</w:t>
        <w:br/>
      </w:r>
      <w:r>
        <w:rPr>
          <w:rFonts w:ascii="Source Sans Pro" w:hAnsi="Source Sans Pro"/>
          <w:b/>
          <w:sz w:val="20"/>
        </w:rPr>
        <w:t xml:space="preserve">Document Status: </w:t>
      </w:r>
      <w:r>
        <w:rPr>
          <w:rFonts w:ascii="Source Sans Pro" w:hAnsi="Source Sans Pro"/>
          <w:sz w:val="20"/>
        </w:rPr>
        <w:t>Published</w:t>
        <w:br/>
      </w:r>
      <w:r>
        <w:rPr>
          <w:rFonts w:ascii="Source Sans Pro" w:hAnsi="Source Sans Pro"/>
          <w:b/>
          <w:sz w:val="20"/>
        </w:rPr>
        <w:t xml:space="preserve">Approved Date: </w:t>
      </w:r>
      <w:r>
        <w:rPr>
          <w:rFonts w:ascii="Source Sans Pro" w:hAnsi="Source Sans Pro"/>
          <w:sz w:val="20"/>
        </w:rPr>
        <w:t>02 October, 2022</w:t>
        <w:br/>
      </w:r>
      <w:r>
        <w:rPr>
          <w:rFonts w:ascii="Source Sans Pro" w:hAnsi="Source Sans Pro"/>
          <w:b/>
          <w:sz w:val="20"/>
        </w:rPr>
        <w:t xml:space="preserve">Audience: </w:t>
      </w:r>
      <w:r>
        <w:rPr>
          <w:rFonts w:ascii="Source Sans Pro" w:hAnsi="Source Sans Pro"/>
          <w:sz w:val="20"/>
        </w:rPr>
        <w:t>Staff, Research, Academic</w:t>
        <w:br/>
      </w:r>
      <w:r>
        <w:rPr>
          <w:rFonts w:ascii="Source Sans Pro" w:hAnsi="Source Sans Pro"/>
          <w:b/>
          <w:sz w:val="20"/>
        </w:rPr>
        <w:t xml:space="preserve">Effective Date: </w:t>
      </w:r>
      <w:r>
        <w:rPr>
          <w:rFonts w:ascii="Source Sans Pro" w:hAnsi="Source Sans Pro"/>
          <w:sz w:val="20"/>
        </w:rPr>
        <w:t>17 April, 2023</w:t>
        <w:br/>
      </w:r>
      <w:r>
        <w:rPr>
          <w:rFonts w:ascii="Source Sans Pro" w:hAnsi="Source Sans Pro"/>
          <w:b/>
          <w:sz w:val="20"/>
        </w:rPr>
        <w:t xml:space="preserve">Review due by: </w:t>
      </w:r>
      <w:r>
        <w:rPr>
          <w:rFonts w:ascii="Source Sans Pro" w:hAnsi="Source Sans Pro"/>
          <w:sz w:val="20"/>
        </w:rPr>
        <w:t>03 October, 2025</w:t>
        <w:br/>
      </w:r>
      <w:r>
        <w:rPr>
          <w:rFonts w:ascii="Source Sans Pro" w:hAnsi="Source Sans Pro"/>
          <w:b/>
          <w:sz w:val="20"/>
        </w:rPr>
        <w:t xml:space="preserve">Policy Approver: </w:t>
      </w:r>
      <w:r>
        <w:rPr>
          <w:rFonts w:ascii="Source Sans Pro" w:hAnsi="Source Sans Pro"/>
          <w:sz w:val="20"/>
        </w:rPr>
        <w:t>Vice-President Administration &amp; Finance And Chief Operating Officer</w:t>
        <w:br/>
      </w:r>
      <w:r>
        <w:rPr>
          <w:rFonts w:ascii="Source Sans Pro" w:hAnsi="Source Sans Pro"/>
          <w:b/>
          <w:sz w:val="20"/>
        </w:rPr>
        <w:t xml:space="preserve">Policy Steward: </w:t>
      </w:r>
      <w:r>
        <w:rPr>
          <w:rFonts w:ascii="Source Sans Pro" w:hAnsi="Source Sans Pro"/>
          <w:sz w:val="20"/>
        </w:rPr>
        <w:t>Director, Commercial Services</w:t>
        <w:br/>
      </w:r>
    </w:p>
    <w:p w14:paraId="47F9273E" w14:textId="2B809AE9" w:rsidR="00FB44B3" w:rsidRDefault="00FB44B3" w:rsidP="00505546">
      <w:pPr>
        <w:pStyle w:val="MPLHeading1"/>
      </w:pPr>
      <w:r>
        <w:t>Objectives</w:t>
      </w:r>
    </w:p>
    <w:p w14:paraId="3C6357C1" w14:textId="77777777" w:rsidR="00FB44B3" w:rsidRDefault="00FB44B3" w:rsidP="00505546">
      <w:pPr>
        <w:pStyle w:val="MPLParagraphlevel1"/>
      </w:pPr>
      <w:r>
        <w:t>The objectives of this policy are to:</w:t>
      </w:r>
    </w:p>
    <w:p w14:paraId="4A2A65F9" w14:textId="1693D7D7" w:rsidR="00FB44B3" w:rsidRPr="00E4764E" w:rsidRDefault="00FB44B3" w:rsidP="00505546">
      <w:pPr>
        <w:pStyle w:val="MPLParagraphlevel2"/>
      </w:pPr>
      <w:r w:rsidRPr="00E4764E">
        <w:t xml:space="preserve">develop a higher commercial </w:t>
      </w:r>
      <w:proofErr w:type="gramStart"/>
      <w:r w:rsidRPr="00E4764E">
        <w:t>orientation;</w:t>
      </w:r>
      <w:proofErr w:type="gramEnd"/>
    </w:p>
    <w:p w14:paraId="5796D9A6" w14:textId="68815CEF" w:rsidR="00FB44B3" w:rsidRPr="00E4764E" w:rsidRDefault="00FB44B3" w:rsidP="00505546">
      <w:pPr>
        <w:pStyle w:val="MPLParagraphlevel2"/>
      </w:pPr>
      <w:r w:rsidRPr="00E4764E">
        <w:t xml:space="preserve">make quality part of the procurement </w:t>
      </w:r>
      <w:proofErr w:type="gramStart"/>
      <w:r w:rsidRPr="00E4764E">
        <w:t>process;</w:t>
      </w:r>
      <w:proofErr w:type="gramEnd"/>
    </w:p>
    <w:p w14:paraId="51288720" w14:textId="5144A513" w:rsidR="00FB44B3" w:rsidRPr="00E4764E" w:rsidRDefault="00FB44B3" w:rsidP="00505546">
      <w:pPr>
        <w:pStyle w:val="MPLParagraphlevel2"/>
      </w:pPr>
      <w:r w:rsidRPr="00E4764E">
        <w:t xml:space="preserve">instil appropriate risk management into procurement </w:t>
      </w:r>
      <w:proofErr w:type="gramStart"/>
      <w:r w:rsidRPr="00E4764E">
        <w:t>processes;</w:t>
      </w:r>
      <w:proofErr w:type="gramEnd"/>
    </w:p>
    <w:p w14:paraId="1AD4BDF4" w14:textId="47EAD8B7" w:rsidR="00FB44B3" w:rsidRPr="00E4764E" w:rsidRDefault="00FB44B3" w:rsidP="00505546">
      <w:pPr>
        <w:pStyle w:val="MPLParagraphlevel2"/>
      </w:pPr>
      <w:r w:rsidRPr="00E4764E">
        <w:t xml:space="preserve">ensure procurement processes fulfil the University’s broad social and environmental obligations set out under the Sustainability Charter and </w:t>
      </w:r>
      <w:proofErr w:type="gramStart"/>
      <w:r w:rsidRPr="00E4764E">
        <w:t>Plan;</w:t>
      </w:r>
      <w:proofErr w:type="gramEnd"/>
    </w:p>
    <w:p w14:paraId="6E87FF9F" w14:textId="532CCA2A" w:rsidR="00FB44B3" w:rsidRPr="00E4764E" w:rsidRDefault="00FB44B3" w:rsidP="00505546">
      <w:pPr>
        <w:pStyle w:val="MPLParagraphlevel2"/>
      </w:pPr>
      <w:r w:rsidRPr="00E4764E">
        <w:t>ensure procurement processes are easy to understand, use and audit; and</w:t>
      </w:r>
    </w:p>
    <w:p w14:paraId="726669A0" w14:textId="58040D0B" w:rsidR="00FB44B3" w:rsidRPr="00E4764E" w:rsidRDefault="00FB44B3" w:rsidP="00505546">
      <w:pPr>
        <w:pStyle w:val="MPLParagraphlevel2"/>
      </w:pPr>
      <w:r w:rsidRPr="00E4764E">
        <w:t>develop awareness of the University’s procurement obligations and compliance with them.</w:t>
      </w:r>
    </w:p>
    <w:p w14:paraId="5DEF0A7F" w14:textId="611FD19F" w:rsidR="00FB44B3" w:rsidRDefault="00FB44B3" w:rsidP="00505546">
      <w:pPr>
        <w:pStyle w:val="MPLHeading1"/>
        <w:rPr>
          <w:sz w:val="36"/>
          <w:szCs w:val="36"/>
        </w:rPr>
      </w:pPr>
      <w:bookmarkStart w:id="0" w:name="section_48004"/>
      <w:bookmarkEnd w:id="0"/>
      <w:r w:rsidRPr="00505546">
        <w:t>Scope</w:t>
      </w:r>
    </w:p>
    <w:p w14:paraId="36728F37" w14:textId="77777777" w:rsidR="00FB44B3" w:rsidRDefault="00FB44B3" w:rsidP="00505546">
      <w:pPr>
        <w:pStyle w:val="MPLParagraphlevel1"/>
      </w:pPr>
      <w:r>
        <w:t>This policy applies to all staff across the University.</w:t>
      </w:r>
    </w:p>
    <w:p w14:paraId="63ED0C17" w14:textId="02669044" w:rsidR="00FB44B3" w:rsidRDefault="00FB44B3" w:rsidP="00505546">
      <w:pPr>
        <w:pStyle w:val="MPLHeading1"/>
        <w:rPr>
          <w:sz w:val="36"/>
          <w:szCs w:val="36"/>
        </w:rPr>
      </w:pPr>
      <w:bookmarkStart w:id="1" w:name="section_48005"/>
      <w:bookmarkEnd w:id="1"/>
      <w:r>
        <w:t>Authority</w:t>
      </w:r>
    </w:p>
    <w:p w14:paraId="17F5C9C4" w14:textId="77777777" w:rsidR="00FB44B3" w:rsidRDefault="00FB44B3" w:rsidP="00505546">
      <w:pPr>
        <w:pStyle w:val="MPLParagraphlevel1"/>
        <w:rPr>
          <w:color w:val="000000"/>
          <w:szCs w:val="20"/>
        </w:rPr>
      </w:pPr>
      <w:r w:rsidRPr="00505546">
        <w:rPr>
          <w:color w:val="000000"/>
          <w:szCs w:val="20"/>
        </w:rPr>
        <w:t>This policy is made under the </w:t>
      </w:r>
      <w:hyperlink r:id="rId8" w:history="1">
        <w:r w:rsidRPr="00505546">
          <w:rPr>
            <w:rStyle w:val="Emphasis"/>
            <w:color w:val="0000FF"/>
            <w:u w:val="single"/>
          </w:rPr>
          <w:t>University of Melbourne Act 2009 </w:t>
        </w:r>
        <w:r w:rsidRPr="00505546">
          <w:rPr>
            <w:rStyle w:val="Hyperlink"/>
            <w:szCs w:val="20"/>
          </w:rPr>
          <w:t>(Vic)</w:t>
        </w:r>
      </w:hyperlink>
      <w:r w:rsidRPr="00505546">
        <w:rPr>
          <w:color w:val="000000"/>
          <w:szCs w:val="20"/>
        </w:rPr>
        <w:t> and the </w:t>
      </w:r>
      <w:hyperlink r:id="rId9" w:history="1">
        <w:r w:rsidRPr="00505546">
          <w:rPr>
            <w:rStyle w:val="Hyperlink"/>
            <w:szCs w:val="20"/>
          </w:rPr>
          <w:t>Vice-Chancellor Regulation</w:t>
        </w:r>
      </w:hyperlink>
      <w:r w:rsidRPr="00505546">
        <w:rPr>
          <w:color w:val="000000"/>
          <w:szCs w:val="20"/>
        </w:rPr>
        <w:t>, and supports compliance with the relevant elements of the Victorian Government’s procurement framework</w:t>
      </w:r>
      <w:r>
        <w:rPr>
          <w:color w:val="000000"/>
          <w:szCs w:val="20"/>
        </w:rPr>
        <w:t>.</w:t>
      </w:r>
    </w:p>
    <w:p w14:paraId="4B4A1DE6" w14:textId="342C289E" w:rsidR="00FB44B3" w:rsidRDefault="00FB44B3" w:rsidP="00505546">
      <w:pPr>
        <w:pStyle w:val="MPLHeading1"/>
        <w:rPr>
          <w:sz w:val="36"/>
          <w:szCs w:val="36"/>
        </w:rPr>
      </w:pPr>
      <w:bookmarkStart w:id="2" w:name="section_48006"/>
      <w:bookmarkEnd w:id="2"/>
      <w:r>
        <w:t>Policy</w:t>
      </w:r>
    </w:p>
    <w:p w14:paraId="7569D525" w14:textId="6DFE3AA5" w:rsidR="00FB44B3" w:rsidRDefault="00FB44B3" w:rsidP="00505546">
      <w:pPr>
        <w:pStyle w:val="MPLParagraphlevel1"/>
      </w:pPr>
      <w:r>
        <w:t xml:space="preserve">The University seeks value for money in procurement through balanced judgement of a range of financial and non-financial factors. Procurement </w:t>
      </w:r>
      <w:proofErr w:type="gramStart"/>
      <w:r>
        <w:t>takes into account</w:t>
      </w:r>
      <w:proofErr w:type="gramEnd"/>
      <w:r>
        <w:t>: the mix of quality, cost and resources; fitness for purpose; total cost of ownership; and risk.</w:t>
      </w:r>
    </w:p>
    <w:p w14:paraId="7822EF6A" w14:textId="0DD69D42" w:rsidR="00FB44B3" w:rsidRDefault="00FB44B3" w:rsidP="00505546">
      <w:pPr>
        <w:pStyle w:val="MPLParagraphlevel1"/>
      </w:pPr>
      <w:r>
        <w:t>Subject to the University’s financial delegations, University staff have the flexibility to conduct procurement activities using appropriate expertise and resources to achieve value-for-money outcomes.</w:t>
      </w:r>
    </w:p>
    <w:p w14:paraId="45E3EBCE" w14:textId="3F97CC4A" w:rsidR="00C575F0" w:rsidRDefault="00505546" w:rsidP="00505546">
      <w:pPr>
        <w:pStyle w:val="MPLParagraphlevel1"/>
      </w:pPr>
      <w:r>
        <w:t>S</w:t>
      </w:r>
      <w:r w:rsidR="005E442C">
        <w:t>pecific</w:t>
      </w:r>
      <w:r w:rsidR="00D355DC">
        <w:t xml:space="preserve"> procurement approval </w:t>
      </w:r>
      <w:r w:rsidR="005E442C">
        <w:t xml:space="preserve">is required once </w:t>
      </w:r>
      <w:r w:rsidR="00D355DC">
        <w:t xml:space="preserve">commitments </w:t>
      </w:r>
      <w:r w:rsidR="005E442C">
        <w:t xml:space="preserve">exceed </w:t>
      </w:r>
      <w:r w:rsidR="000E522A">
        <w:t xml:space="preserve">certain </w:t>
      </w:r>
      <w:r w:rsidR="000D07D1">
        <w:t>financial</w:t>
      </w:r>
      <w:r w:rsidR="000E522A">
        <w:t xml:space="preserve"> thresholds</w:t>
      </w:r>
      <w:r w:rsidR="005E59FA">
        <w:t>. When the value of engagement</w:t>
      </w:r>
      <w:r w:rsidR="00904889">
        <w:t>:</w:t>
      </w:r>
    </w:p>
    <w:p w14:paraId="18DB4EA6" w14:textId="1D23B3E1" w:rsidR="00E342B7" w:rsidRDefault="000A36F9" w:rsidP="00505546">
      <w:pPr>
        <w:pStyle w:val="MPLParagraphlevel2"/>
      </w:pPr>
      <w:r>
        <w:t xml:space="preserve">is </w:t>
      </w:r>
      <w:r w:rsidR="008D3F06">
        <w:t xml:space="preserve">between </w:t>
      </w:r>
      <w:r w:rsidR="00E342B7">
        <w:t xml:space="preserve">$200,000 (AUD) </w:t>
      </w:r>
      <w:r w:rsidR="008D3F06">
        <w:t>to</w:t>
      </w:r>
      <w:r w:rsidR="007629E4">
        <w:t xml:space="preserve"> $400</w:t>
      </w:r>
      <w:r w:rsidR="00B26C84">
        <w:t>,000 (AUD)</w:t>
      </w:r>
      <w:r w:rsidR="00FB5259">
        <w:t xml:space="preserve"> </w:t>
      </w:r>
      <w:r w:rsidR="001F14AB">
        <w:t xml:space="preserve">in commitment </w:t>
      </w:r>
      <w:r w:rsidR="00FB5259">
        <w:t xml:space="preserve">and </w:t>
      </w:r>
      <w:r w:rsidR="004E3B46">
        <w:t>is not</w:t>
      </w:r>
      <w:r w:rsidR="00FB5259">
        <w:t xml:space="preserve"> </w:t>
      </w:r>
      <w:r w:rsidR="00663713">
        <w:t>competitively sourced (</w:t>
      </w:r>
      <w:proofErr w:type="gramStart"/>
      <w:r w:rsidR="00663713">
        <w:t>i.e</w:t>
      </w:r>
      <w:r w:rsidR="00A76235">
        <w:t>.</w:t>
      </w:r>
      <w:proofErr w:type="gramEnd"/>
      <w:r w:rsidR="00663713">
        <w:t xml:space="preserve"> </w:t>
      </w:r>
      <w:r w:rsidR="004E3B46">
        <w:t xml:space="preserve">is </w:t>
      </w:r>
      <w:r w:rsidR="0005751F">
        <w:t>s</w:t>
      </w:r>
      <w:r w:rsidR="00663713">
        <w:t xml:space="preserve">ole </w:t>
      </w:r>
      <w:r w:rsidR="0005751F">
        <w:t>s</w:t>
      </w:r>
      <w:r w:rsidR="00663713">
        <w:t>ourced</w:t>
      </w:r>
      <w:r w:rsidR="00A67E14">
        <w:t>,</w:t>
      </w:r>
      <w:r w:rsidR="00663713">
        <w:t xml:space="preserve"> renewed</w:t>
      </w:r>
      <w:r w:rsidR="00A67E14">
        <w:t>, or under third party terms and conditions</w:t>
      </w:r>
      <w:r w:rsidR="00663713">
        <w:t>)</w:t>
      </w:r>
      <w:r w:rsidR="00E342B7">
        <w:t xml:space="preserve">, </w:t>
      </w:r>
      <w:r w:rsidR="00C771D3">
        <w:t>approval must</w:t>
      </w:r>
      <w:r w:rsidR="00B576B7">
        <w:t xml:space="preserve"> be sought from Commercial Services.</w:t>
      </w:r>
    </w:p>
    <w:p w14:paraId="000D0674" w14:textId="627AAAA8" w:rsidR="00D41AE8" w:rsidRDefault="000A36F9" w:rsidP="00505546">
      <w:pPr>
        <w:pStyle w:val="MPLParagraphlevel2"/>
      </w:pPr>
      <w:r>
        <w:t xml:space="preserve">is </w:t>
      </w:r>
      <w:r w:rsidR="005E59FA">
        <w:t>between</w:t>
      </w:r>
      <w:r w:rsidR="00333C8E">
        <w:t xml:space="preserve"> $400,000 (AUD) </w:t>
      </w:r>
      <w:r w:rsidR="005E59FA">
        <w:t>to</w:t>
      </w:r>
      <w:r w:rsidR="00333C8E">
        <w:t xml:space="preserve"> $2,000,000 (AUD)</w:t>
      </w:r>
      <w:r w:rsidR="005E59FA">
        <w:t>,</w:t>
      </w:r>
      <w:r w:rsidR="00A476DA">
        <w:t xml:space="preserve"> </w:t>
      </w:r>
      <w:r w:rsidR="006919B1">
        <w:t xml:space="preserve">approval of the procurement strategy and recommendation report must be sought from the Director of </w:t>
      </w:r>
      <w:r w:rsidR="00D74D73">
        <w:t>Commercial</w:t>
      </w:r>
      <w:r w:rsidR="006919B1">
        <w:t xml:space="preserve"> Services</w:t>
      </w:r>
      <w:r w:rsidR="00D41AE8">
        <w:t>.</w:t>
      </w:r>
    </w:p>
    <w:p w14:paraId="6F47A2D3" w14:textId="319B341C" w:rsidR="00FB44B3" w:rsidRDefault="00FB44B3" w:rsidP="00505546">
      <w:pPr>
        <w:pStyle w:val="MPLParagraphlevel2"/>
      </w:pPr>
      <w:r>
        <w:t xml:space="preserve">exceeds </w:t>
      </w:r>
      <w:r w:rsidR="00D50A46">
        <w:t xml:space="preserve">$2,000,000 </w:t>
      </w:r>
      <w:r>
        <w:t xml:space="preserve">(AUD) in commitment, approval of the procurement strategy and recommendation </w:t>
      </w:r>
      <w:r w:rsidR="00D41AE8">
        <w:t xml:space="preserve">report </w:t>
      </w:r>
      <w:r>
        <w:t>must be sought from the Procurement Review Board.</w:t>
      </w:r>
    </w:p>
    <w:p w14:paraId="2A3E7975" w14:textId="5547F104" w:rsidR="00FB44B3" w:rsidRDefault="00FB44B3" w:rsidP="00505546">
      <w:pPr>
        <w:pStyle w:val="MPLParagraphlevel1"/>
      </w:pPr>
      <w:r>
        <w:t>Fiscal responsibilities are distributed throughout the large and highly decentralised University. The University as a body politic and corporate, is subject to federal and state laws, and to the audit controls and financial management requirements of funding agencies.</w:t>
      </w:r>
    </w:p>
    <w:p w14:paraId="39C63A45" w14:textId="4E597BB8" w:rsidR="00FB44B3" w:rsidRDefault="00FB44B3" w:rsidP="00505546">
      <w:pPr>
        <w:pStyle w:val="MPLParagraphlevel1"/>
      </w:pPr>
      <w:r>
        <w:t xml:space="preserve">Procurement must be conducted in an ethical, </w:t>
      </w:r>
      <w:proofErr w:type="gramStart"/>
      <w:r>
        <w:t>sustainable</w:t>
      </w:r>
      <w:proofErr w:type="gramEnd"/>
      <w:r>
        <w:t xml:space="preserve"> and transparent manner, without conflicts of interest or breaches of probity standards to ensure equity, confidentiality and confidence in the integrity of decision makers.</w:t>
      </w:r>
    </w:p>
    <w:p w14:paraId="04B64ED3" w14:textId="5583D0FD" w:rsidR="00FB44B3" w:rsidRDefault="00FB44B3" w:rsidP="00505546">
      <w:pPr>
        <w:pStyle w:val="MPLParagraphlevel1"/>
      </w:pPr>
      <w:r>
        <w:t>Procurement expertise and processes match the complexity and level of organisational risk of each procurement activity.</w:t>
      </w:r>
    </w:p>
    <w:p w14:paraId="60FA9B63" w14:textId="3CF56F66" w:rsidR="00FB44B3" w:rsidRDefault="00FB44B3" w:rsidP="00505546">
      <w:pPr>
        <w:pStyle w:val="MPLParagraphlevel1"/>
      </w:pPr>
      <w:r>
        <w:lastRenderedPageBreak/>
        <w:t>Procurement advice is mandated from Commercial Services for all activities that exceeds $400,000 (AUD) estimated commitment.</w:t>
      </w:r>
    </w:p>
    <w:p w14:paraId="092821A6" w14:textId="2EBF6EB4" w:rsidR="00FB44B3" w:rsidRDefault="00FB44B3" w:rsidP="00505546">
      <w:pPr>
        <w:pStyle w:val="MPLParagraphlevel1"/>
      </w:pPr>
      <w:r>
        <w:t xml:space="preserve">Procurement decisions must consider economic, </w:t>
      </w:r>
      <w:proofErr w:type="gramStart"/>
      <w:r>
        <w:t>social</w:t>
      </w:r>
      <w:proofErr w:type="gramEnd"/>
      <w:r>
        <w:t xml:space="preserve"> and environmental impacts, and how they affect the University’s financial position, reputation and progress towards sustainable development.</w:t>
      </w:r>
    </w:p>
    <w:p w14:paraId="639F9A5F" w14:textId="78A5792B" w:rsidR="00FB44B3" w:rsidRDefault="00FB44B3" w:rsidP="00505546">
      <w:pPr>
        <w:pStyle w:val="MPLParagraphlevel1"/>
      </w:pPr>
      <w:r>
        <w:t>Procurement activities should meet the highest standards of ethical and sustainable conduct throughout the supply chain.</w:t>
      </w:r>
    </w:p>
    <w:p w14:paraId="7CF209C5" w14:textId="7DE1F9C4" w:rsidR="00FB44B3" w:rsidRDefault="00FB44B3" w:rsidP="00505546">
      <w:pPr>
        <w:pStyle w:val="MPLParagraphlevel1"/>
      </w:pPr>
      <w:r>
        <w:t>The University's e-Sourcing Tool should be used for all market-related activities.</w:t>
      </w:r>
    </w:p>
    <w:p w14:paraId="6C6DD3E8" w14:textId="56E803DF" w:rsidR="00FB44B3" w:rsidRDefault="00FB44B3" w:rsidP="00724957">
      <w:pPr>
        <w:pStyle w:val="MPLHeading1"/>
        <w:rPr>
          <w:sz w:val="36"/>
          <w:szCs w:val="36"/>
        </w:rPr>
      </w:pPr>
      <w:bookmarkStart w:id="3" w:name="section_48007"/>
      <w:bookmarkEnd w:id="3"/>
      <w:r>
        <w:t>Procedural principles</w:t>
      </w:r>
    </w:p>
    <w:p w14:paraId="4C676989" w14:textId="77777777" w:rsidR="00FB44B3" w:rsidRDefault="00FB44B3" w:rsidP="00724957">
      <w:pPr>
        <w:pStyle w:val="MPFSubheading"/>
      </w:pPr>
      <w:bookmarkStart w:id="4" w:name="section_48013"/>
      <w:bookmarkEnd w:id="4"/>
      <w:r>
        <w:t xml:space="preserve">Procedure to </w:t>
      </w:r>
      <w:proofErr w:type="gramStart"/>
      <w:r>
        <w:t>pay</w:t>
      </w:r>
      <w:proofErr w:type="gramEnd"/>
    </w:p>
    <w:p w14:paraId="36488928" w14:textId="2017E5F9" w:rsidR="00FB44B3" w:rsidRDefault="00FB44B3" w:rsidP="00724957">
      <w:pPr>
        <w:pStyle w:val="MPLParagraphlevel1"/>
      </w:pPr>
      <w:r>
        <w:t>Use of the University’s ‘procure to pay’ system and associated processes aims to ensure:</w:t>
      </w:r>
    </w:p>
    <w:p w14:paraId="17C29BF3" w14:textId="0D21F161" w:rsidR="00FB44B3" w:rsidRDefault="00FB44B3" w:rsidP="00724957">
      <w:pPr>
        <w:pStyle w:val="MPLParagraphlevel2"/>
      </w:pPr>
      <w:r>
        <w:t xml:space="preserve">all purchases are aligned to the University’s business needs and </w:t>
      </w:r>
      <w:proofErr w:type="gramStart"/>
      <w:r>
        <w:t>strategies;</w:t>
      </w:r>
      <w:proofErr w:type="gramEnd"/>
    </w:p>
    <w:p w14:paraId="1FE579A5" w14:textId="6F175AD7" w:rsidR="00FB44B3" w:rsidRDefault="00FB44B3" w:rsidP="00724957">
      <w:pPr>
        <w:pStyle w:val="MPLParagraphlevel2"/>
      </w:pPr>
      <w:r>
        <w:t xml:space="preserve">spending approval, in accordance with the University’s financial delegation policy, precedes commitment with </w:t>
      </w:r>
      <w:proofErr w:type="gramStart"/>
      <w:r>
        <w:t>suppliers;</w:t>
      </w:r>
      <w:proofErr w:type="gramEnd"/>
    </w:p>
    <w:p w14:paraId="4178638B" w14:textId="0E35B705" w:rsidR="00FB44B3" w:rsidRDefault="00FB44B3" w:rsidP="00724957">
      <w:pPr>
        <w:pStyle w:val="MPLParagraphlevel2"/>
      </w:pPr>
      <w:r>
        <w:t xml:space="preserve">the University obtains the best value for money by purchasing from preferred suppliers where possible to leverage the University’s buying </w:t>
      </w:r>
      <w:proofErr w:type="gramStart"/>
      <w:r>
        <w:t>power;</w:t>
      </w:r>
      <w:proofErr w:type="gramEnd"/>
    </w:p>
    <w:p w14:paraId="428F929A" w14:textId="47F85D8C" w:rsidR="00FB44B3" w:rsidRDefault="00FB44B3" w:rsidP="00724957">
      <w:pPr>
        <w:pStyle w:val="MPLParagraphlevel2"/>
      </w:pPr>
      <w:r>
        <w:t xml:space="preserve">appropriate contractual arrangements are in place before any goods or services are </w:t>
      </w:r>
      <w:proofErr w:type="gramStart"/>
      <w:r>
        <w:t>supplied;</w:t>
      </w:r>
      <w:proofErr w:type="gramEnd"/>
    </w:p>
    <w:p w14:paraId="18F80640" w14:textId="3CCD56A0" w:rsidR="00FB44B3" w:rsidRDefault="00FB44B3" w:rsidP="00724957">
      <w:pPr>
        <w:pStyle w:val="MPLParagraphlevel2"/>
      </w:pPr>
      <w:r>
        <w:t xml:space="preserve">supplier payments are accurate and </w:t>
      </w:r>
      <w:proofErr w:type="gramStart"/>
      <w:r>
        <w:t>timely;</w:t>
      </w:r>
      <w:proofErr w:type="gramEnd"/>
    </w:p>
    <w:p w14:paraId="7E1472BA" w14:textId="6B288A1A" w:rsidR="00FB44B3" w:rsidRDefault="00FB44B3" w:rsidP="00724957">
      <w:pPr>
        <w:pStyle w:val="MPLParagraphlevel2"/>
      </w:pPr>
      <w:r>
        <w:t>(</w:t>
      </w:r>
      <w:proofErr w:type="gramStart"/>
      <w:r>
        <w:t>administration</w:t>
      </w:r>
      <w:proofErr w:type="gramEnd"/>
      <w:r>
        <w:t xml:space="preserve"> effort is minimal in receiving invoices and processing payments;</w:t>
      </w:r>
    </w:p>
    <w:p w14:paraId="71825396" w14:textId="78CC5F52" w:rsidR="00FB44B3" w:rsidRDefault="00FB44B3" w:rsidP="00724957">
      <w:pPr>
        <w:pStyle w:val="MPLParagraphlevel2"/>
      </w:pPr>
      <w:r>
        <w:t xml:space="preserve">reporting on supplier-related expense is of a high quality, to drive better decision </w:t>
      </w:r>
      <w:proofErr w:type="gramStart"/>
      <w:r>
        <w:t>making;</w:t>
      </w:r>
      <w:proofErr w:type="gramEnd"/>
    </w:p>
    <w:p w14:paraId="2FCD91D0" w14:textId="50D79253" w:rsidR="00FB44B3" w:rsidRDefault="00FB44B3" w:rsidP="00724957">
      <w:pPr>
        <w:pStyle w:val="MPLParagraphlevel2"/>
      </w:pPr>
      <w:r>
        <w:t xml:space="preserve">approval processes are </w:t>
      </w:r>
      <w:proofErr w:type="gramStart"/>
      <w:r>
        <w:t>electronic;</w:t>
      </w:r>
      <w:proofErr w:type="gramEnd"/>
    </w:p>
    <w:p w14:paraId="7C5F96D3" w14:textId="459402CB" w:rsidR="00FB44B3" w:rsidRDefault="00FB44B3" w:rsidP="00724957">
      <w:pPr>
        <w:pStyle w:val="MPLParagraphlevel2"/>
      </w:pPr>
      <w:r>
        <w:t>the process of acquiring goods or services is transparent and documented, and supports audit and regulatory requirements; and</w:t>
      </w:r>
    </w:p>
    <w:p w14:paraId="7A2A1AAE" w14:textId="43C21546" w:rsidR="00FB44B3" w:rsidRDefault="00FB44B3" w:rsidP="00724957">
      <w:pPr>
        <w:pStyle w:val="MPLParagraphlevel2"/>
      </w:pPr>
      <w:r>
        <w:t xml:space="preserve">exemptions are made with appropriate justification and </w:t>
      </w:r>
      <w:proofErr w:type="gramStart"/>
      <w:r>
        <w:t>authority, and</w:t>
      </w:r>
      <w:proofErr w:type="gramEnd"/>
      <w:r>
        <w:t xml:space="preserve"> are transparent.</w:t>
      </w:r>
    </w:p>
    <w:p w14:paraId="3C4E7322" w14:textId="4038B433" w:rsidR="00FB44B3" w:rsidRDefault="00FB44B3" w:rsidP="00724957">
      <w:pPr>
        <w:pStyle w:val="MPLParagraphlevel1"/>
      </w:pPr>
      <w:r>
        <w:t>The University's preferred method of purchasing goods or services is through either:</w:t>
      </w:r>
    </w:p>
    <w:p w14:paraId="28A3A4D0" w14:textId="693C700F" w:rsidR="00FB44B3" w:rsidRDefault="00FB44B3" w:rsidP="00724957">
      <w:pPr>
        <w:pStyle w:val="MPLParagraphlevel2"/>
      </w:pPr>
      <w:r>
        <w:t>the University’s endorsed purchase order system; or</w:t>
      </w:r>
    </w:p>
    <w:p w14:paraId="12089398" w14:textId="5F2235C1" w:rsidR="00FB7F6D" w:rsidRDefault="00FB44B3" w:rsidP="00724957">
      <w:pPr>
        <w:pStyle w:val="MPLParagraphlevel2"/>
        <w:rPr>
          <w:color w:val="000000" w:themeColor="text1"/>
        </w:rPr>
      </w:pPr>
      <w:r w:rsidRPr="1B79D930">
        <w:rPr>
          <w:color w:val="000000" w:themeColor="text1"/>
        </w:rPr>
        <w:t xml:space="preserve">University issued credit </w:t>
      </w:r>
      <w:proofErr w:type="gramStart"/>
      <w:r w:rsidRPr="1B79D930">
        <w:rPr>
          <w:color w:val="000000" w:themeColor="text1"/>
        </w:rPr>
        <w:t>cards</w:t>
      </w:r>
      <w:r w:rsidR="00FB7F6D">
        <w:rPr>
          <w:color w:val="000000" w:themeColor="text1"/>
        </w:rPr>
        <w:t>;</w:t>
      </w:r>
      <w:proofErr w:type="gramEnd"/>
    </w:p>
    <w:p w14:paraId="3D9FAF0D" w14:textId="703CE71B" w:rsidR="00B05553" w:rsidRDefault="000E0941" w:rsidP="00724957">
      <w:pPr>
        <w:pStyle w:val="MPLParagraphlevel2"/>
      </w:pPr>
      <w:r w:rsidRPr="1B79D930">
        <w:rPr>
          <w:color w:val="000000" w:themeColor="text1"/>
        </w:rPr>
        <w:t xml:space="preserve">Staff should only </w:t>
      </w:r>
      <w:r w:rsidR="007B78E1" w:rsidRPr="1B79D930">
        <w:rPr>
          <w:color w:val="000000" w:themeColor="text1"/>
        </w:rPr>
        <w:t xml:space="preserve">incur expenses on behalf of the </w:t>
      </w:r>
      <w:r w:rsidR="00B05553" w:rsidRPr="1B79D930">
        <w:rPr>
          <w:color w:val="000000" w:themeColor="text1"/>
        </w:rPr>
        <w:t xml:space="preserve">University </w:t>
      </w:r>
      <w:r w:rsidR="007B78E1" w:rsidRPr="1B79D930">
        <w:rPr>
          <w:color w:val="000000" w:themeColor="text1"/>
        </w:rPr>
        <w:t xml:space="preserve">if they do not have access to a </w:t>
      </w:r>
      <w:proofErr w:type="gramStart"/>
      <w:r w:rsidR="007B78E1" w:rsidRPr="1B79D930">
        <w:rPr>
          <w:color w:val="000000" w:themeColor="text1"/>
        </w:rPr>
        <w:t>Univer</w:t>
      </w:r>
      <w:r w:rsidR="009F1060" w:rsidRPr="1B79D930">
        <w:rPr>
          <w:color w:val="000000" w:themeColor="text1"/>
        </w:rPr>
        <w:t>sity</w:t>
      </w:r>
      <w:proofErr w:type="gramEnd"/>
      <w:r w:rsidR="009F1060" w:rsidRPr="1B79D930">
        <w:rPr>
          <w:color w:val="000000" w:themeColor="text1"/>
        </w:rPr>
        <w:t xml:space="preserve"> issued </w:t>
      </w:r>
      <w:r w:rsidR="00B05553" w:rsidRPr="1B79D930">
        <w:rPr>
          <w:color w:val="000000" w:themeColor="text1"/>
        </w:rPr>
        <w:t>credit card</w:t>
      </w:r>
      <w:r w:rsidR="00AD2B0C">
        <w:rPr>
          <w:color w:val="000000" w:themeColor="text1"/>
        </w:rPr>
        <w:t>.</w:t>
      </w:r>
    </w:p>
    <w:p w14:paraId="13D89F17" w14:textId="77777777" w:rsidR="00FB44B3" w:rsidRDefault="00FB44B3" w:rsidP="00724957">
      <w:pPr>
        <w:pStyle w:val="MPFSubheading"/>
      </w:pPr>
      <w:bookmarkStart w:id="5" w:name="section_48014"/>
      <w:bookmarkEnd w:id="5"/>
      <w:r>
        <w:t>Procurement management</w:t>
      </w:r>
    </w:p>
    <w:p w14:paraId="785BEA67" w14:textId="7A6EA2F7" w:rsidR="00FB44B3" w:rsidRDefault="00FB44B3" w:rsidP="00724957">
      <w:pPr>
        <w:pStyle w:val="MPLParagraphlevel1"/>
      </w:pPr>
      <w:r>
        <w:t>All aspects of the procurement process must be documented and retained in accordance with the University’s</w:t>
      </w:r>
      <w:r w:rsidR="00724957">
        <w:t xml:space="preserve"> Contracts Policy (</w:t>
      </w:r>
      <w:hyperlink r:id="rId10" w:history="1">
        <w:r w:rsidR="00724957" w:rsidRPr="00724957">
          <w:rPr>
            <w:rStyle w:val="Hyperlink"/>
          </w:rPr>
          <w:t>MPF1247</w:t>
        </w:r>
      </w:hyperlink>
      <w:r w:rsidR="00724957">
        <w:t>), Records Management Policy (</w:t>
      </w:r>
      <w:hyperlink r:id="rId11" w:history="1">
        <w:r w:rsidR="00724957" w:rsidRPr="00724957">
          <w:rPr>
            <w:rStyle w:val="Hyperlink"/>
          </w:rPr>
          <w:t>MPF1106</w:t>
        </w:r>
      </w:hyperlink>
      <w:r w:rsidR="00724957">
        <w:t xml:space="preserve">) </w:t>
      </w:r>
      <w:r>
        <w:t>and related processes.</w:t>
      </w:r>
    </w:p>
    <w:p w14:paraId="793C6255" w14:textId="07501AC4" w:rsidR="00FB44B3" w:rsidRDefault="00FB44B3" w:rsidP="00724957">
      <w:pPr>
        <w:pStyle w:val="MPLParagraphlevel1"/>
      </w:pPr>
      <w:r>
        <w:t>Contract planning and management must ensure delivery of desired commercial outcomes with third party suppliers of goods and services by considering a broad range of factors such as:</w:t>
      </w:r>
    </w:p>
    <w:p w14:paraId="1C954CE5" w14:textId="17D3BF0E" w:rsidR="00FB44B3" w:rsidRDefault="00FB44B3" w:rsidP="00724957">
      <w:pPr>
        <w:pStyle w:val="MPLParagraphlevel2"/>
      </w:pPr>
      <w:r>
        <w:t xml:space="preserve">financial, reputation and supply </w:t>
      </w:r>
      <w:proofErr w:type="gramStart"/>
      <w:r>
        <w:t>risk;</w:t>
      </w:r>
      <w:proofErr w:type="gramEnd"/>
    </w:p>
    <w:p w14:paraId="26B3A3F7" w14:textId="307B0608" w:rsidR="00FB44B3" w:rsidRDefault="00FB44B3" w:rsidP="00724957">
      <w:pPr>
        <w:pStyle w:val="MPLParagraphlevel2"/>
      </w:pPr>
      <w:proofErr w:type="spellStart"/>
      <w:r>
        <w:t>optimised</w:t>
      </w:r>
      <w:proofErr w:type="spellEnd"/>
      <w:r>
        <w:t xml:space="preserve"> commercial/ financial outcomes for the </w:t>
      </w:r>
      <w:proofErr w:type="gramStart"/>
      <w:r>
        <w:t>University;</w:t>
      </w:r>
      <w:proofErr w:type="gramEnd"/>
    </w:p>
    <w:p w14:paraId="54A60C1A" w14:textId="5A0A8911" w:rsidR="00FB44B3" w:rsidRDefault="00FB44B3" w:rsidP="00724957">
      <w:pPr>
        <w:pStyle w:val="MPLParagraphlevel2"/>
      </w:pPr>
      <w:r>
        <w:t xml:space="preserve">supplier performance and </w:t>
      </w:r>
      <w:proofErr w:type="gramStart"/>
      <w:r>
        <w:t>delivery;</w:t>
      </w:r>
      <w:proofErr w:type="gramEnd"/>
    </w:p>
    <w:p w14:paraId="012B2554" w14:textId="71D4F5A1" w:rsidR="00FB44B3" w:rsidRDefault="00FB44B3" w:rsidP="00724957">
      <w:pPr>
        <w:pStyle w:val="MPLParagraphlevel2"/>
      </w:pPr>
      <w:r>
        <w:t>privacy considerations; and</w:t>
      </w:r>
    </w:p>
    <w:p w14:paraId="6F43BFDC" w14:textId="52E1DC82" w:rsidR="00FB44B3" w:rsidRDefault="00FB44B3" w:rsidP="00724957">
      <w:pPr>
        <w:pStyle w:val="MPLParagraphlevel2"/>
      </w:pPr>
      <w:r>
        <w:t>record keeping and reporting.</w:t>
      </w:r>
    </w:p>
    <w:p w14:paraId="15244B8B" w14:textId="3F19934C" w:rsidR="00FB44B3" w:rsidRDefault="008C7EB8" w:rsidP="00724957">
      <w:pPr>
        <w:pStyle w:val="MPLParagraphlevel1"/>
      </w:pPr>
      <w:proofErr w:type="spellStart"/>
      <w:r>
        <w:t>Commerical</w:t>
      </w:r>
      <w:proofErr w:type="spellEnd"/>
      <w:r>
        <w:t xml:space="preserve"> </w:t>
      </w:r>
      <w:r w:rsidR="00FB44B3">
        <w:t xml:space="preserve">Services and the Procurement Review Board together form the University’s independent expertise, advisers and reviewers of the University’s Goods and Services procurement </w:t>
      </w:r>
      <w:r w:rsidR="00FB44B3">
        <w:lastRenderedPageBreak/>
        <w:t>activities. Along with the University’s Legal and Risk division, they ensure that the University’s procurement activities meet obligations prescribed by:</w:t>
      </w:r>
    </w:p>
    <w:p w14:paraId="2C72D2D0" w14:textId="57948731" w:rsidR="00FB44B3" w:rsidRDefault="00FB44B3" w:rsidP="00724957">
      <w:pPr>
        <w:pStyle w:val="MPLParagraphlevel2"/>
      </w:pPr>
      <w:r>
        <w:t xml:space="preserve">relevant </w:t>
      </w:r>
      <w:proofErr w:type="gramStart"/>
      <w:r>
        <w:t>legislation;</w:t>
      </w:r>
      <w:proofErr w:type="gramEnd"/>
    </w:p>
    <w:p w14:paraId="4C0E3BB2" w14:textId="2FF0C815" w:rsidR="00FB44B3" w:rsidRDefault="00FB44B3" w:rsidP="00724957">
      <w:pPr>
        <w:pStyle w:val="MPLParagraphlevel2"/>
      </w:pPr>
      <w:r>
        <w:t xml:space="preserve">expectations of internal and external audit </w:t>
      </w:r>
      <w:proofErr w:type="gramStart"/>
      <w:r>
        <w:t>bodies;</w:t>
      </w:r>
      <w:proofErr w:type="gramEnd"/>
    </w:p>
    <w:p w14:paraId="5914F61A" w14:textId="65C87663" w:rsidR="00FB44B3" w:rsidRDefault="00FB44B3" w:rsidP="00724957">
      <w:pPr>
        <w:pStyle w:val="MPLParagraphlevel2"/>
      </w:pPr>
      <w:r>
        <w:t>this policy, associated policies and supporting processes; and</w:t>
      </w:r>
    </w:p>
    <w:p w14:paraId="14322681" w14:textId="0BA87E90" w:rsidR="00FB44B3" w:rsidRDefault="00FB44B3" w:rsidP="00724957">
      <w:pPr>
        <w:pStyle w:val="MPLParagraphlevel2"/>
      </w:pPr>
      <w:r>
        <w:t>the aim of seeking best value outcomes for the University.</w:t>
      </w:r>
    </w:p>
    <w:p w14:paraId="62FBDB48" w14:textId="5D17C3FC" w:rsidR="00FB44B3" w:rsidRDefault="00FB44B3" w:rsidP="00724957">
      <w:pPr>
        <w:pStyle w:val="MPLParagraphlevel1"/>
      </w:pPr>
      <w:r>
        <w:t>The Procurement Review Board must be engaged in accordance with relevant Procurement Review Board Terms of Reference and supporting processes.</w:t>
      </w:r>
    </w:p>
    <w:p w14:paraId="731850BD" w14:textId="26DE008E" w:rsidR="00FB44B3" w:rsidRDefault="00FB44B3" w:rsidP="00724957">
      <w:pPr>
        <w:pStyle w:val="MPLParagraphlevel1"/>
      </w:pPr>
      <w:r>
        <w:t xml:space="preserve">A financial commitment made on behalf of the University is subject to </w:t>
      </w:r>
      <w:r w:rsidR="00724957">
        <w:t xml:space="preserve">the </w:t>
      </w:r>
      <w:r w:rsidR="00724957">
        <w:t>Contracts Policy (</w:t>
      </w:r>
      <w:hyperlink r:id="rId12" w:history="1">
        <w:r w:rsidR="00724957" w:rsidRPr="00724957">
          <w:rPr>
            <w:rStyle w:val="Hyperlink"/>
          </w:rPr>
          <w:t>MPF1247</w:t>
        </w:r>
      </w:hyperlink>
      <w:r w:rsidR="00724957">
        <w:t>)</w:t>
      </w:r>
      <w:r>
        <w:t xml:space="preserve">. Before making a commitment on the University’s behalf, staff must consider factors affecting the University’s financial exposure, </w:t>
      </w:r>
      <w:proofErr w:type="gramStart"/>
      <w:r>
        <w:t>control</w:t>
      </w:r>
      <w:proofErr w:type="gramEnd"/>
      <w:r>
        <w:t xml:space="preserve"> and associated risk.</w:t>
      </w:r>
    </w:p>
    <w:p w14:paraId="06DE5EF8" w14:textId="77777777" w:rsidR="00FB44B3" w:rsidRDefault="00FB44B3" w:rsidP="00724957">
      <w:pPr>
        <w:pStyle w:val="MPFSubheading"/>
      </w:pPr>
      <w:bookmarkStart w:id="6" w:name="section_48010"/>
      <w:bookmarkEnd w:id="6"/>
      <w:r>
        <w:t xml:space="preserve">Governance, </w:t>
      </w:r>
      <w:proofErr w:type="gramStart"/>
      <w:r>
        <w:t>probity</w:t>
      </w:r>
      <w:proofErr w:type="gramEnd"/>
      <w:r>
        <w:t xml:space="preserve"> and risk</w:t>
      </w:r>
    </w:p>
    <w:p w14:paraId="1BEE10C2" w14:textId="77A426EE" w:rsidR="00FB44B3" w:rsidRDefault="00FB44B3" w:rsidP="00724957">
      <w:pPr>
        <w:pStyle w:val="MPLParagraphlevel1"/>
      </w:pPr>
      <w:r>
        <w:t>Overall systems and procedural arrangements ensure the procurement process applies appropriate levels of control, and proper and ethical conduct. The University’s Governance, Probity and Risk Framework:</w:t>
      </w:r>
      <w:r>
        <w:rPr>
          <w:rStyle w:val="Strong"/>
          <w:rFonts w:ascii="Arial" w:hAnsi="Arial"/>
          <w:color w:val="000000"/>
          <w:szCs w:val="20"/>
        </w:rPr>
        <w:t> </w:t>
      </w:r>
    </w:p>
    <w:p w14:paraId="1705B2F4" w14:textId="4E49323C" w:rsidR="00FB44B3" w:rsidRDefault="00FB44B3" w:rsidP="00724957">
      <w:pPr>
        <w:pStyle w:val="MPLParagraphlevel2"/>
      </w:pPr>
      <w:r>
        <w:t xml:space="preserve">identifies and proactively manages </w:t>
      </w:r>
      <w:proofErr w:type="gramStart"/>
      <w:r>
        <w:t>risk;</w:t>
      </w:r>
      <w:proofErr w:type="gramEnd"/>
    </w:p>
    <w:p w14:paraId="50AEF143" w14:textId="4F5725DE" w:rsidR="00FB44B3" w:rsidRDefault="00FB44B3" w:rsidP="00724957">
      <w:pPr>
        <w:pStyle w:val="MPLParagraphlevel2"/>
      </w:pPr>
      <w:r>
        <w:t xml:space="preserve">defines roles and responsibilities for appropriate segregation of activities and </w:t>
      </w:r>
      <w:proofErr w:type="gramStart"/>
      <w:r>
        <w:t>oversight;</w:t>
      </w:r>
      <w:proofErr w:type="gramEnd"/>
    </w:p>
    <w:p w14:paraId="626A8123" w14:textId="2A1E8AFA" w:rsidR="00FB44B3" w:rsidRDefault="00FB44B3" w:rsidP="00724957">
      <w:pPr>
        <w:pStyle w:val="MPLParagraphlevel2"/>
      </w:pPr>
      <w:r>
        <w:t>applies appropriate controls and reviews to monitor procurement spending across the University; and</w:t>
      </w:r>
    </w:p>
    <w:p w14:paraId="2AE907D7" w14:textId="3FC9EF6D" w:rsidR="00FB44B3" w:rsidRDefault="00FB44B3" w:rsidP="00724957">
      <w:pPr>
        <w:pStyle w:val="MPLParagraphlevel2"/>
      </w:pPr>
      <w:r>
        <w:t>requires audit assessment of procurement effectiveness and compliance with policies and processes.</w:t>
      </w:r>
    </w:p>
    <w:p w14:paraId="48DE7AB4" w14:textId="1F6F9051" w:rsidR="00FB44B3" w:rsidRDefault="00FB44B3" w:rsidP="00724957">
      <w:pPr>
        <w:pStyle w:val="MPLParagraphlevel1"/>
      </w:pPr>
      <w:r>
        <w:t>University staff making commercial commitments on the University’s behalf, should, where possible:</w:t>
      </w:r>
    </w:p>
    <w:p w14:paraId="1A161CB1" w14:textId="71547EC1" w:rsidR="00FB44B3" w:rsidRDefault="00FB44B3" w:rsidP="00724957">
      <w:pPr>
        <w:pStyle w:val="MPLParagraphlevel2"/>
      </w:pPr>
      <w:r>
        <w:t xml:space="preserve">meet the University’s needs by achieving whole-of-life value for money for the University, society and the economy, while minimising whole-of-life adverse environmental, social and economic impacts of purchased products and </w:t>
      </w:r>
      <w:proofErr w:type="gramStart"/>
      <w:r>
        <w:t>services;</w:t>
      </w:r>
      <w:proofErr w:type="gramEnd"/>
    </w:p>
    <w:p w14:paraId="5D5768D9" w14:textId="2B255FED" w:rsidR="00FB44B3" w:rsidRDefault="00724957" w:rsidP="00724957">
      <w:pPr>
        <w:pStyle w:val="MPLParagraphlevel2"/>
      </w:pPr>
      <w:r>
        <w:t>r</w:t>
      </w:r>
      <w:r w:rsidR="00FB44B3">
        <w:t xml:space="preserve">educe adverse social and environmental impacts from the supply chain by purchasing products that meet recognised environmental </w:t>
      </w:r>
      <w:proofErr w:type="gramStart"/>
      <w:r w:rsidR="00FB44B3">
        <w:t>standards;</w:t>
      </w:r>
      <w:proofErr w:type="gramEnd"/>
    </w:p>
    <w:p w14:paraId="7D5E2FA9" w14:textId="014A9187" w:rsidR="00FB44B3" w:rsidRDefault="00FB44B3" w:rsidP="00724957">
      <w:pPr>
        <w:pStyle w:val="MPLParagraphlevel2"/>
      </w:pPr>
      <w:r>
        <w:t xml:space="preserve">take reasonable steps to ensure that people in the supply chain are treated with respect, have adequate employment rights, and work in a safe and healthy </w:t>
      </w:r>
      <w:proofErr w:type="gramStart"/>
      <w:r>
        <w:t>environment;</w:t>
      </w:r>
      <w:proofErr w:type="gramEnd"/>
    </w:p>
    <w:p w14:paraId="215756A4" w14:textId="1A1522B5" w:rsidR="00FB44B3" w:rsidRDefault="00FB44B3" w:rsidP="00724957">
      <w:pPr>
        <w:pStyle w:val="MPLParagraphlevel2"/>
      </w:pPr>
      <w:r>
        <w:t>adopt strategies to avoid unnecessary consumption and manage demand; and</w:t>
      </w:r>
    </w:p>
    <w:p w14:paraId="2EA388F4" w14:textId="550B2C9C" w:rsidR="00FB44B3" w:rsidRDefault="00FB44B3" w:rsidP="00724957">
      <w:pPr>
        <w:pStyle w:val="MPLParagraphlevel2"/>
      </w:pPr>
      <w:r>
        <w:t xml:space="preserve">assess opportunities for specifically including in </w:t>
      </w:r>
      <w:proofErr w:type="gramStart"/>
      <w:r>
        <w:t>tenders</w:t>
      </w:r>
      <w:proofErr w:type="gramEnd"/>
      <w:r>
        <w:t xml:space="preserve"> businesses that prioritise social and/or environmental impact, such as those that are Indigenous-owned or have a high Indigenous employee participation rate.</w:t>
      </w:r>
    </w:p>
    <w:p w14:paraId="52C9B508" w14:textId="763455D5" w:rsidR="00FB44B3" w:rsidRDefault="00FB44B3" w:rsidP="00724957">
      <w:pPr>
        <w:pStyle w:val="MPLHeading1"/>
        <w:rPr>
          <w:sz w:val="36"/>
          <w:szCs w:val="36"/>
        </w:rPr>
      </w:pPr>
      <w:bookmarkStart w:id="7" w:name="section_48008"/>
      <w:bookmarkEnd w:id="7"/>
      <w:r>
        <w:t>Roles and Responsibilities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4"/>
        <w:gridCol w:w="2498"/>
        <w:gridCol w:w="3768"/>
      </w:tblGrid>
      <w:tr w:rsidR="00FB44B3" w:rsidRPr="00724957" w14:paraId="52BE022D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2DD2F" w14:textId="77777777" w:rsidR="00FB44B3" w:rsidRPr="00724957" w:rsidRDefault="00FB44B3" w:rsidP="005F7BCF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24957">
              <w:rPr>
                <w:rStyle w:val="Emphasis"/>
                <w:rFonts w:ascii="Source Sans Pro" w:hAnsi="Source Sans Pro"/>
                <w:sz w:val="20"/>
                <w:szCs w:val="20"/>
              </w:rPr>
              <w:t>Role/Decision/Action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C0F6A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Emphasis"/>
                <w:rFonts w:ascii="Source Sans Pro" w:hAnsi="Source Sans Pro"/>
                <w:sz w:val="20"/>
                <w:szCs w:val="20"/>
              </w:rPr>
              <w:t>Responsibility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85051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Emphasis"/>
                <w:rFonts w:ascii="Source Sans Pro" w:hAnsi="Source Sans Pro"/>
                <w:sz w:val="20"/>
                <w:szCs w:val="20"/>
              </w:rPr>
              <w:t>Conditions and limitations</w:t>
            </w:r>
          </w:p>
        </w:tc>
      </w:tr>
      <w:tr w:rsidR="00FB44B3" w:rsidRPr="00724957" w14:paraId="7A56FC99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4E83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Promote implementation of this policy across the University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EF373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Director, University Commercial Services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E3FEC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B44B3" w:rsidRPr="00724957" w14:paraId="724155C3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57ECD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lastRenderedPageBreak/>
              <w:t>Monitor compliance with this policy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7D2E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Procurement Review Board and Director, University Commercial Services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5072E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 </w:t>
            </w:r>
          </w:p>
        </w:tc>
      </w:tr>
      <w:tr w:rsidR="00FB44B3" w:rsidRPr="00724957" w14:paraId="0308A0DA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402D0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Analyse and review procurement practices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D1D6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Procurement Review Board and Director, University Commercial Services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AC446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 </w:t>
            </w:r>
          </w:p>
        </w:tc>
      </w:tr>
      <w:tr w:rsidR="00FB44B3" w:rsidRPr="00724957" w14:paraId="05DB879A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F827D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Maintain and update templates for standard procurement forms (</w:t>
            </w:r>
            <w:proofErr w:type="spellStart"/>
            <w:proofErr w:type="gramStart"/>
            <w:r w:rsidRPr="00724957">
              <w:rPr>
                <w:rFonts w:ascii="Source Sans Pro" w:hAnsi="Source Sans Pro"/>
                <w:sz w:val="20"/>
                <w:szCs w:val="20"/>
              </w:rPr>
              <w:t>eg</w:t>
            </w:r>
            <w:proofErr w:type="spellEnd"/>
            <w:proofErr w:type="gramEnd"/>
            <w:r w:rsidRPr="00724957">
              <w:rPr>
                <w:rFonts w:ascii="Source Sans Pro" w:hAnsi="Source Sans Pro"/>
                <w:sz w:val="20"/>
                <w:szCs w:val="20"/>
              </w:rPr>
              <w:t xml:space="preserve"> order, invoice)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DF790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Director, University Commercial Services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F2D59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 </w:t>
            </w:r>
          </w:p>
        </w:tc>
      </w:tr>
      <w:tr w:rsidR="00FB44B3" w:rsidRPr="00724957" w14:paraId="0D0E54E0" w14:textId="77777777" w:rsidTr="00FB44B3">
        <w:trPr>
          <w:tblCellSpacing w:w="0" w:type="dxa"/>
        </w:trPr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DD15F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Maintain and review methodology for contract and document retention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60CB8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Associate Director, Information Governance and Engagement</w:t>
            </w:r>
          </w:p>
        </w:tc>
        <w:tc>
          <w:tcPr>
            <w:tcW w:w="2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2B533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In accordance with the University’s Records Management Policy and Contracts Policy</w:t>
            </w:r>
          </w:p>
        </w:tc>
      </w:tr>
    </w:tbl>
    <w:p w14:paraId="79DAC5B3" w14:textId="48064CF3" w:rsidR="00FB44B3" w:rsidRDefault="00FB44B3" w:rsidP="00724957">
      <w:pPr>
        <w:pStyle w:val="MPLHeading1"/>
        <w:rPr>
          <w:sz w:val="36"/>
          <w:szCs w:val="36"/>
        </w:rPr>
      </w:pPr>
      <w:bookmarkStart w:id="8" w:name="section_48009"/>
      <w:bookmarkEnd w:id="8"/>
      <w:r>
        <w:t>Definitions</w:t>
      </w:r>
    </w:p>
    <w:p w14:paraId="58DF6A4C" w14:textId="77777777" w:rsidR="00FB44B3" w:rsidRDefault="00FB44B3" w:rsidP="00724957">
      <w:pPr>
        <w:pStyle w:val="MPLParagraphlevel1"/>
        <w:numPr>
          <w:ilvl w:val="0"/>
          <w:numId w:val="0"/>
        </w:numPr>
      </w:pPr>
      <w:r>
        <w:rPr>
          <w:rStyle w:val="Strong"/>
          <w:rFonts w:ascii="Arial" w:hAnsi="Arial"/>
          <w:color w:val="000000"/>
          <w:szCs w:val="20"/>
        </w:rPr>
        <w:t>Probity</w:t>
      </w:r>
      <w:r>
        <w:t xml:space="preserve"> means complete and confirmed integrity, </w:t>
      </w:r>
      <w:proofErr w:type="gramStart"/>
      <w:r>
        <w:t>uprightness</w:t>
      </w:r>
      <w:proofErr w:type="gramEnd"/>
      <w:r>
        <w:t xml:space="preserve"> and honesty in a particular process.</w:t>
      </w:r>
    </w:p>
    <w:p w14:paraId="0DFDD2A2" w14:textId="77777777" w:rsidR="00FB44B3" w:rsidRDefault="00FB44B3" w:rsidP="00724957">
      <w:pPr>
        <w:pStyle w:val="MPLParagraphlevel1"/>
        <w:numPr>
          <w:ilvl w:val="0"/>
          <w:numId w:val="0"/>
        </w:numPr>
      </w:pPr>
      <w:r>
        <w:rPr>
          <w:rStyle w:val="Strong"/>
          <w:rFonts w:ascii="Arial" w:hAnsi="Arial"/>
          <w:color w:val="000000"/>
          <w:szCs w:val="20"/>
        </w:rPr>
        <w:t>Procurement</w:t>
      </w:r>
      <w:r>
        <w:t xml:space="preserve"> means the act of obtaining or buying goods and services; includes preparing and processing an order, issuing a </w:t>
      </w:r>
      <w:proofErr w:type="gramStart"/>
      <w:r>
        <w:t>receipt</w:t>
      </w:r>
      <w:proofErr w:type="gramEnd"/>
      <w:r>
        <w:t xml:space="preserve"> and approving payment.</w:t>
      </w:r>
    </w:p>
    <w:p w14:paraId="5D864F57" w14:textId="77777777" w:rsidR="00FB44B3" w:rsidRDefault="00FB44B3" w:rsidP="00724957">
      <w:pPr>
        <w:pStyle w:val="MPLParagraphlevel1"/>
        <w:numPr>
          <w:ilvl w:val="0"/>
          <w:numId w:val="0"/>
        </w:numPr>
      </w:pPr>
      <w:r>
        <w:rPr>
          <w:rStyle w:val="Strong"/>
          <w:rFonts w:ascii="Arial" w:hAnsi="Arial"/>
          <w:color w:val="000000"/>
          <w:szCs w:val="20"/>
        </w:rPr>
        <w:t>Quality assurance</w:t>
      </w:r>
      <w:r>
        <w:t> means steps taken to ensure that a supplier’s products and services are of sufficiently high quality.</w:t>
      </w:r>
    </w:p>
    <w:p w14:paraId="049EA92E" w14:textId="77777777" w:rsidR="00FB44B3" w:rsidRDefault="00FB44B3" w:rsidP="00724957">
      <w:pPr>
        <w:pStyle w:val="MPLParagraphlevel1"/>
        <w:numPr>
          <w:ilvl w:val="0"/>
          <w:numId w:val="0"/>
        </w:numPr>
      </w:pPr>
      <w:r>
        <w:rPr>
          <w:rStyle w:val="Strong"/>
          <w:rFonts w:ascii="Arial" w:hAnsi="Arial"/>
          <w:color w:val="000000"/>
          <w:szCs w:val="20"/>
        </w:rPr>
        <w:t>Supplier</w:t>
      </w:r>
      <w:r>
        <w:t> means a business which supplies goods or services.</w:t>
      </w:r>
    </w:p>
    <w:p w14:paraId="55CD04C1" w14:textId="77777777" w:rsidR="00FB44B3" w:rsidRDefault="00FB44B3" w:rsidP="00724957">
      <w:pPr>
        <w:pStyle w:val="MPLParagraphlevel1"/>
        <w:numPr>
          <w:ilvl w:val="0"/>
          <w:numId w:val="0"/>
        </w:numPr>
      </w:pPr>
      <w:r>
        <w:rPr>
          <w:rStyle w:val="Strong"/>
          <w:rFonts w:ascii="Arial" w:hAnsi="Arial"/>
          <w:color w:val="000000"/>
          <w:szCs w:val="20"/>
        </w:rPr>
        <w:t>Supply chain</w:t>
      </w:r>
      <w:r>
        <w:t xml:space="preserve"> means the network of retailers, distributors, transporters, storage facilities and manufacturers that participate in the sale, </w:t>
      </w:r>
      <w:proofErr w:type="gramStart"/>
      <w:r>
        <w:t>delivery</w:t>
      </w:r>
      <w:proofErr w:type="gramEnd"/>
      <w:r>
        <w:t xml:space="preserve"> and production of a particular product.</w:t>
      </w:r>
    </w:p>
    <w:p w14:paraId="353C3F0C" w14:textId="77777777" w:rsidR="00FB44B3" w:rsidRDefault="00FB44B3" w:rsidP="00724957">
      <w:pPr>
        <w:pStyle w:val="MPLNoNumberingHeadings"/>
        <w:rPr>
          <w:sz w:val="36"/>
          <w:szCs w:val="36"/>
        </w:rPr>
      </w:pPr>
      <w:bookmarkStart w:id="9" w:name="section_48011"/>
      <w:bookmarkEnd w:id="9"/>
      <w:r>
        <w:t>POLICY APPROVER</w:t>
      </w:r>
    </w:p>
    <w:p w14:paraId="634B8E84" w14:textId="77777777" w:rsidR="00FB44B3" w:rsidRDefault="00FB44B3" w:rsidP="00724957">
      <w:pPr>
        <w:pStyle w:val="MPLParapgrah"/>
      </w:pPr>
      <w:r>
        <w:t>Vice-President (Administration &amp; Finance) and Chief Operating Officer</w:t>
      </w:r>
    </w:p>
    <w:p w14:paraId="64A75204" w14:textId="77777777" w:rsidR="00FB44B3" w:rsidRDefault="00FB44B3" w:rsidP="00724957">
      <w:pPr>
        <w:pStyle w:val="MPLNoNumberingHeadings"/>
        <w:rPr>
          <w:sz w:val="36"/>
          <w:szCs w:val="36"/>
        </w:rPr>
      </w:pPr>
      <w:bookmarkStart w:id="10" w:name="section_48012"/>
      <w:bookmarkEnd w:id="10"/>
      <w:r>
        <w:t>POLICY STEWARD</w:t>
      </w:r>
    </w:p>
    <w:p w14:paraId="02024B28" w14:textId="77777777" w:rsidR="00FB44B3" w:rsidRDefault="00FB44B3" w:rsidP="00724957">
      <w:pPr>
        <w:pStyle w:val="MPLParapgrah"/>
      </w:pPr>
      <w:r>
        <w:t>Director, Commercial Services</w:t>
      </w:r>
    </w:p>
    <w:p w14:paraId="2D09FFFE" w14:textId="77777777" w:rsidR="00FB44B3" w:rsidRDefault="00FB44B3" w:rsidP="00724957">
      <w:pPr>
        <w:pStyle w:val="MPLNoNumberingHeadings"/>
        <w:rPr>
          <w:sz w:val="36"/>
          <w:szCs w:val="36"/>
        </w:rPr>
      </w:pPr>
      <w:bookmarkStart w:id="11" w:name="section_48015"/>
      <w:bookmarkEnd w:id="11"/>
      <w:r>
        <w:t>REVIEW</w:t>
      </w:r>
    </w:p>
    <w:p w14:paraId="73AE9188" w14:textId="32860837" w:rsidR="00FB44B3" w:rsidRDefault="00FB44B3" w:rsidP="00724957">
      <w:pPr>
        <w:pStyle w:val="MPLParapgrah"/>
      </w:pPr>
      <w:r>
        <w:t xml:space="preserve">This policy is to be reviewed by </w:t>
      </w:r>
      <w:r w:rsidR="001204B4">
        <w:t>3</w:t>
      </w:r>
      <w:r>
        <w:t xml:space="preserve"> </w:t>
      </w:r>
      <w:r w:rsidR="001204B4">
        <w:t>October</w:t>
      </w:r>
      <w:r>
        <w:t xml:space="preserve"> </w:t>
      </w:r>
      <w:r w:rsidR="001204B4">
        <w:t>2025</w:t>
      </w:r>
      <w:r>
        <w:t>.</w:t>
      </w:r>
    </w:p>
    <w:p w14:paraId="0B121295" w14:textId="77777777" w:rsidR="00FB44B3" w:rsidRDefault="00FB44B3" w:rsidP="00724957">
      <w:pPr>
        <w:pStyle w:val="MPLNoNumberingHeadings"/>
        <w:rPr>
          <w:sz w:val="36"/>
          <w:szCs w:val="36"/>
        </w:rPr>
      </w:pPr>
      <w:bookmarkStart w:id="12" w:name="section_48016"/>
      <w:bookmarkEnd w:id="12"/>
      <w:r>
        <w:t>VERSION HISTORY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"/>
        <w:gridCol w:w="1360"/>
        <w:gridCol w:w="1039"/>
        <w:gridCol w:w="986"/>
        <w:gridCol w:w="4851"/>
      </w:tblGrid>
      <w:tr w:rsidR="00FB44B3" w:rsidRPr="00724957" w14:paraId="4ECCFDAA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A17D" w14:textId="77777777" w:rsidR="00FB44B3" w:rsidRPr="00724957" w:rsidRDefault="00FB44B3" w:rsidP="005F7BCF">
            <w:pPr>
              <w:rPr>
                <w:rFonts w:ascii="Source Sans Pro" w:hAnsi="Source Sans Pro" w:cs="Times New Roman"/>
                <w:sz w:val="20"/>
                <w:szCs w:val="20"/>
              </w:rPr>
            </w:pPr>
            <w:r w:rsidRPr="00724957">
              <w:rPr>
                <w:rStyle w:val="Strong"/>
                <w:rFonts w:ascii="Source Sans Pro" w:hAnsi="Source Sans Pro"/>
                <w:sz w:val="20"/>
                <w:szCs w:val="20"/>
              </w:rPr>
              <w:t>Version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31D91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Strong"/>
                <w:rFonts w:ascii="Source Sans Pro" w:hAnsi="Source Sans Pro"/>
                <w:sz w:val="20"/>
                <w:szCs w:val="20"/>
              </w:rPr>
              <w:t>Approved By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FF65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Strong"/>
                <w:rFonts w:ascii="Source Sans Pro" w:hAnsi="Source Sans Pro"/>
                <w:sz w:val="20"/>
                <w:szCs w:val="20"/>
              </w:rPr>
              <w:t>Approval Date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969E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Strong"/>
                <w:rFonts w:ascii="Source Sans Pro" w:hAnsi="Source Sans Pro"/>
                <w:sz w:val="20"/>
                <w:szCs w:val="20"/>
              </w:rPr>
              <w:t>Effective Date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E577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Style w:val="Strong"/>
                <w:rFonts w:ascii="Source Sans Pro" w:hAnsi="Source Sans Pro"/>
                <w:sz w:val="20"/>
                <w:szCs w:val="20"/>
              </w:rPr>
              <w:t>Sections Modified</w:t>
            </w:r>
          </w:p>
        </w:tc>
      </w:tr>
      <w:tr w:rsidR="00FB44B3" w:rsidRPr="00724957" w14:paraId="7E420703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C5121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27D2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Senior Vice-Principal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6C0C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24 August 2012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CA25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24 August 2012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D9B6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New version arising from the Policy Simplification Project. Loaded into MPL as Version 1.</w:t>
            </w:r>
          </w:p>
        </w:tc>
      </w:tr>
      <w:tr w:rsidR="00FB44B3" w:rsidRPr="00724957" w14:paraId="7BBDC0C3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ED82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lastRenderedPageBreak/>
              <w:t>2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71F7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Vice-Principal Administration and Finance</w:t>
            </w:r>
            <w:r w:rsidRPr="00724957">
              <w:rPr>
                <w:rFonts w:ascii="Source Sans Pro" w:hAnsi="Source Sans Pro"/>
                <w:sz w:val="20"/>
                <w:szCs w:val="20"/>
              </w:rPr>
              <w:br/>
              <w:t>on behalf of Senior Vice-Principal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CD1F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4 April 2014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0788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7 April 2014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F47B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Amendments throughout document to reflect new procurement processes.</w:t>
            </w:r>
            <w:r w:rsidRPr="00724957">
              <w:rPr>
                <w:rFonts w:ascii="Source Sans Pro" w:hAnsi="Source Sans Pro"/>
                <w:sz w:val="20"/>
                <w:szCs w:val="20"/>
              </w:rPr>
              <w:br/>
              <w:t>Definitions and Related Documents sections updated.</w:t>
            </w:r>
            <w:r w:rsidRPr="00724957">
              <w:rPr>
                <w:rFonts w:ascii="Source Sans Pro" w:hAnsi="Source Sans Pro"/>
                <w:sz w:val="20"/>
                <w:szCs w:val="20"/>
              </w:rPr>
              <w:br/>
              <w:t>Responsible Officer section removed.</w:t>
            </w:r>
          </w:p>
        </w:tc>
      </w:tr>
      <w:tr w:rsidR="00FB44B3" w:rsidRPr="00724957" w14:paraId="011555DF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EDE1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AA017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Vice-Principal Administration and Finance and CFO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538B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31 January 2017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D663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 3 July 2017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541B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New version arising from the Policy Consolidation Project.</w:t>
            </w:r>
          </w:p>
        </w:tc>
      </w:tr>
      <w:tr w:rsidR="00FB44B3" w:rsidRPr="00724957" w14:paraId="44ECB95E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BF91F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0DB13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Vice-Principal Administration &amp; Finance and CFO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151D1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14 November 2018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7BEA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22 November 2018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BAAB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New Version that reflects changes that were agreed as part of the MTB review process.</w:t>
            </w:r>
          </w:p>
          <w:p w14:paraId="6DB7F2DB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 xml:space="preserve">Amendments cover PRB Boards (Good and Services PREB/Major Buildings PRB), mandating procurement from Commercial Services for activities &gt;400k and mandating the use of </w:t>
            </w:r>
            <w:proofErr w:type="spellStart"/>
            <w:r w:rsidRPr="00724957">
              <w:rPr>
                <w:rFonts w:ascii="Source Sans Pro" w:hAnsi="Source Sans Pro"/>
                <w:sz w:val="20"/>
                <w:szCs w:val="20"/>
              </w:rPr>
              <w:t>eSourcing</w:t>
            </w:r>
            <w:proofErr w:type="spellEnd"/>
            <w:r w:rsidRPr="00724957">
              <w:rPr>
                <w:rFonts w:ascii="Source Sans Pro" w:hAnsi="Source Sans Pro"/>
                <w:sz w:val="20"/>
                <w:szCs w:val="20"/>
              </w:rPr>
              <w:t xml:space="preserve"> solution to manage all procurement market related engagements (RFP processes etc).</w:t>
            </w:r>
          </w:p>
        </w:tc>
      </w:tr>
      <w:tr w:rsidR="00FB44B3" w:rsidRPr="00724957" w14:paraId="1FD905A0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14A7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2BC6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University Secretary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345A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24 May 2019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5056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31 May 2019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E5D0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Amended Policy Approver title.</w:t>
            </w:r>
            <w:r w:rsidRPr="00724957">
              <w:rPr>
                <w:rFonts w:ascii="Source Sans Pro" w:hAnsi="Source Sans Pro"/>
                <w:sz w:val="20"/>
                <w:szCs w:val="20"/>
              </w:rPr>
              <w:br/>
              <w:t>Editorial amendments to correct minor errors or align with the University’s policy style guide.</w:t>
            </w:r>
          </w:p>
        </w:tc>
      </w:tr>
      <w:tr w:rsidR="00FB44B3" w:rsidRPr="00724957" w14:paraId="1DFB63C1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9347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407EC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Director, Commercial Services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CF9C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25 September 2020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7C92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5 October 2020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D244" w14:textId="77777777" w:rsidR="00FB44B3" w:rsidRPr="00724957" w:rsidRDefault="00FB44B3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Amended section 5.5 (c) to remove redundant term 'University executive'.</w:t>
            </w:r>
          </w:p>
        </w:tc>
      </w:tr>
      <w:tr w:rsidR="00974625" w:rsidRPr="00724957" w14:paraId="71FF0413" w14:textId="77777777" w:rsidTr="00FB44B3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9F1B3" w14:textId="4D26EC98" w:rsidR="00974625" w:rsidRPr="00724957" w:rsidRDefault="00974625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A44A9" w14:textId="0B2AABC7" w:rsidR="00974625" w:rsidRPr="00724957" w:rsidRDefault="00974625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Director, Commercial Services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8B8B3" w14:textId="7E1AE451" w:rsidR="00974625" w:rsidRPr="00724957" w:rsidRDefault="00724957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3 October 2022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726F" w14:textId="3775EF48" w:rsidR="00974625" w:rsidRPr="00724957" w:rsidRDefault="00724957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>17 April 2023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CEA23" w14:textId="61DDD06A" w:rsidR="00006791" w:rsidRPr="00724957" w:rsidRDefault="00B9066F" w:rsidP="005F7BCF">
            <w:pPr>
              <w:rPr>
                <w:rFonts w:ascii="Source Sans Pro" w:hAnsi="Source Sans Pro"/>
                <w:sz w:val="20"/>
                <w:szCs w:val="20"/>
              </w:rPr>
            </w:pPr>
            <w:r w:rsidRPr="00724957">
              <w:rPr>
                <w:rFonts w:ascii="Source Sans Pro" w:hAnsi="Source Sans Pro"/>
                <w:sz w:val="20"/>
                <w:szCs w:val="20"/>
              </w:rPr>
              <w:t xml:space="preserve">Changes amended to </w:t>
            </w:r>
            <w:r w:rsidR="00D2423A" w:rsidRPr="00724957">
              <w:rPr>
                <w:rFonts w:ascii="Source Sans Pro" w:hAnsi="Source Sans Pro"/>
                <w:sz w:val="20"/>
                <w:szCs w:val="20"/>
              </w:rPr>
              <w:t>reflect changes</w:t>
            </w:r>
            <w:r w:rsidRPr="0072495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430EC8" w:rsidRPr="00724957">
              <w:rPr>
                <w:rFonts w:ascii="Source Sans Pro" w:hAnsi="Source Sans Pro"/>
                <w:sz w:val="20"/>
                <w:szCs w:val="20"/>
              </w:rPr>
              <w:t>of</w:t>
            </w:r>
            <w:r w:rsidRPr="0072495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2423A" w:rsidRPr="00724957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724957">
              <w:rPr>
                <w:rFonts w:ascii="Source Sans Pro" w:hAnsi="Source Sans Pro"/>
                <w:sz w:val="20"/>
                <w:szCs w:val="20"/>
              </w:rPr>
              <w:t xml:space="preserve">new procurement </w:t>
            </w:r>
            <w:proofErr w:type="gramStart"/>
            <w:r w:rsidRPr="00724957">
              <w:rPr>
                <w:rFonts w:ascii="Source Sans Pro" w:hAnsi="Source Sans Pro"/>
                <w:sz w:val="20"/>
                <w:szCs w:val="20"/>
              </w:rPr>
              <w:t>governance</w:t>
            </w:r>
            <w:r w:rsidR="00724957" w:rsidRPr="00724957">
              <w:rPr>
                <w:rFonts w:ascii="Source Sans Pro" w:hAnsi="Source Sans Pro"/>
                <w:sz w:val="20"/>
                <w:szCs w:val="20"/>
              </w:rPr>
              <w:t>,</w:t>
            </w:r>
            <w:proofErr w:type="gramEnd"/>
            <w:r w:rsidR="00724957" w:rsidRPr="00724957">
              <w:rPr>
                <w:rFonts w:ascii="Source Sans Pro" w:hAnsi="Source Sans Pro"/>
                <w:sz w:val="20"/>
                <w:szCs w:val="20"/>
              </w:rPr>
              <w:t xml:space="preserve"> major review requirements met. Delayed publishing due to policy library upgrade impediment. </w:t>
            </w:r>
          </w:p>
        </w:tc>
      </w:tr>
    </w:tbl>
    <w:p w14:paraId="63435F3E" w14:textId="77777777" w:rsidR="009A0233" w:rsidRDefault="009A0233" w:rsidP="00D25B96"/>
    <w:sectPr w:rsidR="009A0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4E1"/>
    <w:multiLevelType w:val="hybridMultilevel"/>
    <w:tmpl w:val="ACD6058E"/>
    <w:lvl w:ilvl="0" w:tplc="308CC06E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B47514D"/>
    <w:multiLevelType w:val="hybridMultilevel"/>
    <w:tmpl w:val="A7CCEA7C"/>
    <w:lvl w:ilvl="0" w:tplc="AB0EAE1A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B8C"/>
    <w:multiLevelType w:val="hybridMultilevel"/>
    <w:tmpl w:val="A7004228"/>
    <w:lvl w:ilvl="0" w:tplc="54F6C3CA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1D95594"/>
    <w:multiLevelType w:val="hybridMultilevel"/>
    <w:tmpl w:val="493AB7A2"/>
    <w:lvl w:ilvl="0" w:tplc="33524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C22"/>
    <w:multiLevelType w:val="multilevel"/>
    <w:tmpl w:val="C046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C1EAC"/>
    <w:multiLevelType w:val="hybridMultilevel"/>
    <w:tmpl w:val="6AE65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07A"/>
    <w:multiLevelType w:val="multilevel"/>
    <w:tmpl w:val="45E4CD66"/>
    <w:lvl w:ilvl="0">
      <w:start w:val="1"/>
      <w:numFmt w:val="decimal"/>
      <w:pStyle w:val="MPL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MPLParagraphlevel1"/>
      <w:suff w:val="space"/>
      <w:lvlText w:val="%1.%2."/>
      <w:lvlJc w:val="left"/>
      <w:pPr>
        <w:ind w:left="357" w:firstLine="3"/>
      </w:pPr>
      <w:rPr>
        <w:rFonts w:hint="default"/>
        <w:b w:val="0"/>
      </w:rPr>
    </w:lvl>
    <w:lvl w:ilvl="2">
      <w:start w:val="1"/>
      <w:numFmt w:val="lowerLetter"/>
      <w:pStyle w:val="MPLParagraphlevel2"/>
      <w:suff w:val="space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lowerRoman"/>
      <w:pStyle w:val="MPLParagraphlevel3"/>
      <w:suff w:val="space"/>
      <w:lvlText w:val="%4."/>
      <w:lvlJc w:val="left"/>
      <w:pPr>
        <w:ind w:left="1077" w:firstLine="3"/>
      </w:pPr>
      <w:rPr>
        <w:rFonts w:hint="default"/>
      </w:rPr>
    </w:lvl>
    <w:lvl w:ilvl="4">
      <w:start w:val="1"/>
      <w:numFmt w:val="bullet"/>
      <w:pStyle w:val="MPLParagraphlevel4"/>
      <w:suff w:val="space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257375"/>
    <w:multiLevelType w:val="multilevel"/>
    <w:tmpl w:val="C046E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166D1"/>
    <w:multiLevelType w:val="hybridMultilevel"/>
    <w:tmpl w:val="A8C40922"/>
    <w:lvl w:ilvl="0" w:tplc="407C4A38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A770888"/>
    <w:multiLevelType w:val="hybridMultilevel"/>
    <w:tmpl w:val="C7BAE786"/>
    <w:lvl w:ilvl="0" w:tplc="E0FA74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D54EBF"/>
    <w:multiLevelType w:val="hybridMultilevel"/>
    <w:tmpl w:val="C7BAE786"/>
    <w:lvl w:ilvl="0" w:tplc="E0FA74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AD0411"/>
    <w:multiLevelType w:val="hybridMultilevel"/>
    <w:tmpl w:val="7DE88F86"/>
    <w:lvl w:ilvl="0" w:tplc="33524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5E5F"/>
    <w:multiLevelType w:val="hybridMultilevel"/>
    <w:tmpl w:val="A74C95E0"/>
    <w:lvl w:ilvl="0" w:tplc="006A43CC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A7E77D0"/>
    <w:multiLevelType w:val="hybridMultilevel"/>
    <w:tmpl w:val="6F766C0A"/>
    <w:lvl w:ilvl="0" w:tplc="006A43CC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7AB25320"/>
    <w:multiLevelType w:val="hybridMultilevel"/>
    <w:tmpl w:val="3FF878CE"/>
    <w:lvl w:ilvl="0" w:tplc="006A43CC">
      <w:start w:val="1"/>
      <w:numFmt w:val="lowerLetter"/>
      <w:lvlText w:val="(%1)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80436869">
    <w:abstractNumId w:val="4"/>
  </w:num>
  <w:num w:numId="2" w16cid:durableId="2009745676">
    <w:abstractNumId w:val="3"/>
  </w:num>
  <w:num w:numId="3" w16cid:durableId="1701202855">
    <w:abstractNumId w:val="8"/>
  </w:num>
  <w:num w:numId="4" w16cid:durableId="2067408188">
    <w:abstractNumId w:val="14"/>
  </w:num>
  <w:num w:numId="5" w16cid:durableId="1576014691">
    <w:abstractNumId w:val="0"/>
  </w:num>
  <w:num w:numId="6" w16cid:durableId="920718223">
    <w:abstractNumId w:val="2"/>
  </w:num>
  <w:num w:numId="7" w16cid:durableId="1124420737">
    <w:abstractNumId w:val="13"/>
  </w:num>
  <w:num w:numId="8" w16cid:durableId="787355629">
    <w:abstractNumId w:val="12"/>
  </w:num>
  <w:num w:numId="9" w16cid:durableId="1657343087">
    <w:abstractNumId w:val="10"/>
  </w:num>
  <w:num w:numId="10" w16cid:durableId="1782453817">
    <w:abstractNumId w:val="9"/>
  </w:num>
  <w:num w:numId="11" w16cid:durableId="1794517573">
    <w:abstractNumId w:val="7"/>
  </w:num>
  <w:num w:numId="12" w16cid:durableId="221066855">
    <w:abstractNumId w:val="5"/>
  </w:num>
  <w:num w:numId="13" w16cid:durableId="73673325">
    <w:abstractNumId w:val="11"/>
  </w:num>
  <w:num w:numId="14" w16cid:durableId="881551765">
    <w:abstractNumId w:val="1"/>
  </w:num>
  <w:num w:numId="15" w16cid:durableId="97479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C8"/>
    <w:rsid w:val="00002F3D"/>
    <w:rsid w:val="00006791"/>
    <w:rsid w:val="00017680"/>
    <w:rsid w:val="000272D1"/>
    <w:rsid w:val="00037FAE"/>
    <w:rsid w:val="00056E26"/>
    <w:rsid w:val="000573BF"/>
    <w:rsid w:val="0005751F"/>
    <w:rsid w:val="000610EE"/>
    <w:rsid w:val="00093E05"/>
    <w:rsid w:val="000A36F9"/>
    <w:rsid w:val="000B1E9F"/>
    <w:rsid w:val="000B4AF5"/>
    <w:rsid w:val="000C6BD9"/>
    <w:rsid w:val="000D07D1"/>
    <w:rsid w:val="000D42DD"/>
    <w:rsid w:val="000E0941"/>
    <w:rsid w:val="000E522A"/>
    <w:rsid w:val="000E7F6A"/>
    <w:rsid w:val="000F70B2"/>
    <w:rsid w:val="00117E63"/>
    <w:rsid w:val="001204B4"/>
    <w:rsid w:val="00143301"/>
    <w:rsid w:val="00150340"/>
    <w:rsid w:val="0018366F"/>
    <w:rsid w:val="001D3D50"/>
    <w:rsid w:val="001F14AB"/>
    <w:rsid w:val="0020422D"/>
    <w:rsid w:val="00205C2D"/>
    <w:rsid w:val="00211AB5"/>
    <w:rsid w:val="002167FA"/>
    <w:rsid w:val="00222C23"/>
    <w:rsid w:val="00223A0A"/>
    <w:rsid w:val="00292816"/>
    <w:rsid w:val="002A2D0E"/>
    <w:rsid w:val="002A77F2"/>
    <w:rsid w:val="002D097B"/>
    <w:rsid w:val="002D13F6"/>
    <w:rsid w:val="002D774D"/>
    <w:rsid w:val="002F2658"/>
    <w:rsid w:val="00303530"/>
    <w:rsid w:val="00312A6E"/>
    <w:rsid w:val="00333C8E"/>
    <w:rsid w:val="00367D1D"/>
    <w:rsid w:val="00373299"/>
    <w:rsid w:val="00390F0C"/>
    <w:rsid w:val="003B06FD"/>
    <w:rsid w:val="003D5F83"/>
    <w:rsid w:val="00403481"/>
    <w:rsid w:val="00415571"/>
    <w:rsid w:val="00430EC8"/>
    <w:rsid w:val="00481C90"/>
    <w:rsid w:val="00486F9C"/>
    <w:rsid w:val="00492A46"/>
    <w:rsid w:val="004D0FF4"/>
    <w:rsid w:val="004E3B46"/>
    <w:rsid w:val="00505546"/>
    <w:rsid w:val="005157C1"/>
    <w:rsid w:val="00524295"/>
    <w:rsid w:val="00537CC4"/>
    <w:rsid w:val="00543238"/>
    <w:rsid w:val="005572E2"/>
    <w:rsid w:val="00596F0E"/>
    <w:rsid w:val="005B4F82"/>
    <w:rsid w:val="005C3078"/>
    <w:rsid w:val="005C60D5"/>
    <w:rsid w:val="005E442C"/>
    <w:rsid w:val="005E59FA"/>
    <w:rsid w:val="005F7BCF"/>
    <w:rsid w:val="00606048"/>
    <w:rsid w:val="00606AD2"/>
    <w:rsid w:val="00617085"/>
    <w:rsid w:val="00622589"/>
    <w:rsid w:val="00630BB0"/>
    <w:rsid w:val="00631B23"/>
    <w:rsid w:val="00642C9A"/>
    <w:rsid w:val="006577E1"/>
    <w:rsid w:val="00663713"/>
    <w:rsid w:val="00690502"/>
    <w:rsid w:val="006919B1"/>
    <w:rsid w:val="006919BD"/>
    <w:rsid w:val="00691E93"/>
    <w:rsid w:val="006C399B"/>
    <w:rsid w:val="006C56CC"/>
    <w:rsid w:val="006F09F9"/>
    <w:rsid w:val="006F3EA8"/>
    <w:rsid w:val="0070340B"/>
    <w:rsid w:val="0070491E"/>
    <w:rsid w:val="00723C0A"/>
    <w:rsid w:val="00724957"/>
    <w:rsid w:val="00732D82"/>
    <w:rsid w:val="00743239"/>
    <w:rsid w:val="007629E4"/>
    <w:rsid w:val="00777D84"/>
    <w:rsid w:val="007B3674"/>
    <w:rsid w:val="007B78E1"/>
    <w:rsid w:val="007C04F7"/>
    <w:rsid w:val="007D7F8F"/>
    <w:rsid w:val="007E1C68"/>
    <w:rsid w:val="007E7FFC"/>
    <w:rsid w:val="00800932"/>
    <w:rsid w:val="00804FFB"/>
    <w:rsid w:val="00805408"/>
    <w:rsid w:val="0082716D"/>
    <w:rsid w:val="00866EB9"/>
    <w:rsid w:val="008832DC"/>
    <w:rsid w:val="008850E3"/>
    <w:rsid w:val="008908EF"/>
    <w:rsid w:val="00894CF6"/>
    <w:rsid w:val="008C7EB8"/>
    <w:rsid w:val="008D3F06"/>
    <w:rsid w:val="008D5288"/>
    <w:rsid w:val="00904889"/>
    <w:rsid w:val="0092768C"/>
    <w:rsid w:val="009636E4"/>
    <w:rsid w:val="009640FE"/>
    <w:rsid w:val="00974625"/>
    <w:rsid w:val="00974ADE"/>
    <w:rsid w:val="00975F7E"/>
    <w:rsid w:val="0098256B"/>
    <w:rsid w:val="009A0233"/>
    <w:rsid w:val="009B26D7"/>
    <w:rsid w:val="009B72FB"/>
    <w:rsid w:val="009F1060"/>
    <w:rsid w:val="009F3134"/>
    <w:rsid w:val="009F3806"/>
    <w:rsid w:val="00A26172"/>
    <w:rsid w:val="00A272C6"/>
    <w:rsid w:val="00A41C62"/>
    <w:rsid w:val="00A476DA"/>
    <w:rsid w:val="00A5467A"/>
    <w:rsid w:val="00A67E14"/>
    <w:rsid w:val="00A74E6F"/>
    <w:rsid w:val="00A759A4"/>
    <w:rsid w:val="00A75ADD"/>
    <w:rsid w:val="00A76235"/>
    <w:rsid w:val="00A81133"/>
    <w:rsid w:val="00AA23A3"/>
    <w:rsid w:val="00AC0F7E"/>
    <w:rsid w:val="00AC2B94"/>
    <w:rsid w:val="00AD2B0C"/>
    <w:rsid w:val="00AF33B7"/>
    <w:rsid w:val="00AF3FC8"/>
    <w:rsid w:val="00B05553"/>
    <w:rsid w:val="00B2381C"/>
    <w:rsid w:val="00B26C84"/>
    <w:rsid w:val="00B576B7"/>
    <w:rsid w:val="00B6737B"/>
    <w:rsid w:val="00B71566"/>
    <w:rsid w:val="00B9066F"/>
    <w:rsid w:val="00BB4D51"/>
    <w:rsid w:val="00BE7F21"/>
    <w:rsid w:val="00BF7A30"/>
    <w:rsid w:val="00C06AF4"/>
    <w:rsid w:val="00C30962"/>
    <w:rsid w:val="00C33607"/>
    <w:rsid w:val="00C575F0"/>
    <w:rsid w:val="00C709C8"/>
    <w:rsid w:val="00C714EF"/>
    <w:rsid w:val="00C74A0F"/>
    <w:rsid w:val="00C76998"/>
    <w:rsid w:val="00C771D3"/>
    <w:rsid w:val="00CA2F25"/>
    <w:rsid w:val="00CC45FC"/>
    <w:rsid w:val="00CD0488"/>
    <w:rsid w:val="00CD437C"/>
    <w:rsid w:val="00CF50DC"/>
    <w:rsid w:val="00D14E8D"/>
    <w:rsid w:val="00D2423A"/>
    <w:rsid w:val="00D25B96"/>
    <w:rsid w:val="00D355DC"/>
    <w:rsid w:val="00D41AE8"/>
    <w:rsid w:val="00D50A46"/>
    <w:rsid w:val="00D523D9"/>
    <w:rsid w:val="00D52697"/>
    <w:rsid w:val="00D74D73"/>
    <w:rsid w:val="00D83FEE"/>
    <w:rsid w:val="00D87A21"/>
    <w:rsid w:val="00D87B8B"/>
    <w:rsid w:val="00DA7B93"/>
    <w:rsid w:val="00DC2701"/>
    <w:rsid w:val="00DD7FC7"/>
    <w:rsid w:val="00DE2D4B"/>
    <w:rsid w:val="00DE52BE"/>
    <w:rsid w:val="00E15A60"/>
    <w:rsid w:val="00E26DAD"/>
    <w:rsid w:val="00E342B7"/>
    <w:rsid w:val="00E4764E"/>
    <w:rsid w:val="00E762E2"/>
    <w:rsid w:val="00E91F75"/>
    <w:rsid w:val="00EC5076"/>
    <w:rsid w:val="00EF2B31"/>
    <w:rsid w:val="00EF5A64"/>
    <w:rsid w:val="00F0083A"/>
    <w:rsid w:val="00F10D23"/>
    <w:rsid w:val="00F31931"/>
    <w:rsid w:val="00F40B66"/>
    <w:rsid w:val="00F47592"/>
    <w:rsid w:val="00F52EBC"/>
    <w:rsid w:val="00F54C26"/>
    <w:rsid w:val="00FA6BA7"/>
    <w:rsid w:val="00FB44B3"/>
    <w:rsid w:val="00FB5259"/>
    <w:rsid w:val="00FB7F6D"/>
    <w:rsid w:val="00FC7F8A"/>
    <w:rsid w:val="00FE6032"/>
    <w:rsid w:val="1088CC2B"/>
    <w:rsid w:val="16F57791"/>
    <w:rsid w:val="1B79D930"/>
    <w:rsid w:val="2912D8BD"/>
    <w:rsid w:val="4B9F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63AFD"/>
  <w15:docId w15:val="{7D04643E-FC85-45E4-9FB8-C9211BF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C8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CF"/>
    <w:pPr>
      <w:keepNext/>
      <w:keepLines/>
      <w:spacing w:before="240" w:after="0"/>
      <w:outlineLvl w:val="0"/>
    </w:pPr>
    <w:rPr>
      <w:rFonts w:asciiTheme="Source Sans Pro" w:eastAsiaTheme="majorEastAsia" w:hAnsiTheme="majorHAnsi" w:cstheme="majorBidi"/>
      <w:color w:val="000F4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B4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 w:asciiTheme="Source Sans Pro"/>
      <w:b/>
      <w:bCs/>
      <w:color w:val="000F46"/>
      <w:sz w:val="28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B4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 w:asciiTheme="Source Sans Pro"/>
      <w:b/>
      <w:bCs/>
      <w:color w:val="000F46"/>
      <w:sz w:val="24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9C8"/>
    <w:pPr>
      <w:ind w:left="720"/>
      <w:contextualSpacing/>
    </w:pPr>
  </w:style>
  <w:style w:type="paragraph" w:customStyle="1" w:styleId="Heading21">
    <w:name w:val="Heading 21"/>
    <w:rsid w:val="00C709C8"/>
    <w:pPr>
      <w:spacing w:after="160" w:line="240" w:lineRule="auto"/>
    </w:pPr>
    <w:rPr>
      <w:rFonts w:ascii="Arial" w:eastAsia="Arial" w:hAnsi="Arial" w:cs="Arial"/>
      <w:b/>
      <w:color w:val="556677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57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57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7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7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D5F83"/>
  </w:style>
  <w:style w:type="character" w:styleId="Hyperlink">
    <w:name w:val="Hyperlink"/>
    <w:basedOn w:val="DefaultParagraphFont"/>
    <w:uiPriority w:val="99"/>
    <w:unhideWhenUsed/>
    <w:rsid w:val="003D5F83"/>
    <w:rPr>
      <w:color w:val="0000FF"/>
      <w:u w:val="single"/>
    </w:rPr>
  </w:style>
  <w:style w:type="paragraph" w:styleId="Revision">
    <w:name w:val="Revision"/>
    <w:hidden/>
    <w:uiPriority w:val="99"/>
    <w:semiHidden/>
    <w:rsid w:val="0041557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B44B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B44B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B44B3"/>
    <w:rPr>
      <w:b/>
      <w:bCs/>
    </w:rPr>
  </w:style>
  <w:style w:type="character" w:styleId="Emphasis">
    <w:name w:val="Emphasis"/>
    <w:basedOn w:val="DefaultParagraphFont"/>
    <w:uiPriority w:val="20"/>
    <w:qFormat/>
    <w:rsid w:val="00FB44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732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LParagraphlevel1">
    <w:name w:val="MPL Paragraph level 1"/>
    <w:basedOn w:val="ListParagraph"/>
    <w:qFormat/>
    <w:rsid w:val="00373299"/>
    <w:pPr>
      <w:numPr>
        <w:ilvl w:val="1"/>
        <w:numId w:val="15"/>
      </w:numPr>
      <w:spacing w:afterLines="50" w:after="120"/>
      <w:contextualSpacing w:val="0"/>
    </w:pPr>
    <w:rPr>
      <w:rFonts w:ascii="Source Sans Pro" w:eastAsiaTheme="minorEastAsia" w:hAnsi="Source Sans Pro" w:cs="Arial" w:asciiTheme="Source Sans Pro"/>
      <w:sz w:val="20"/>
      <w:lang w:val="en-US"/>
    </w:rPr>
  </w:style>
  <w:style w:type="paragraph" w:customStyle="1" w:styleId="MPLHeading1">
    <w:name w:val="MPL Heading 1"/>
    <w:basedOn w:val="Heading2"/>
    <w:qFormat/>
    <w:rsid w:val="00505546"/>
    <w:pPr>
      <w:keepNext/>
      <w:keepLines/>
      <w:numPr>
        <w:numId w:val="15"/>
      </w:numPr>
      <w:spacing w:before="200" w:beforeAutospacing="0" w:afterLines="50" w:after="120" w:afterAutospacing="0" w:line="276" w:lineRule="auto"/>
    </w:pPr>
    <w:rPr>
      <w:rFonts w:ascii="Source Sans Pro" w:eastAsiaTheme="majorEastAsia" w:hAnsi="Source Sans Pro" w:cs="Arial" w:asciiTheme="Source Sans Pro"/>
      <w:color w:val="000F46"/>
      <w:sz w:val="32"/>
      <w:szCs w:val="26"/>
      <w:lang w:val="en-US" w:eastAsia="en-US"/>
    </w:rPr>
  </w:style>
  <w:style w:type="paragraph" w:customStyle="1" w:styleId="MPLParagraphlevel2">
    <w:name w:val="MPL Paragraph level 2"/>
    <w:basedOn w:val="ListParagraph"/>
    <w:qFormat/>
    <w:rsid w:val="00373299"/>
    <w:pPr>
      <w:numPr>
        <w:ilvl w:val="2"/>
        <w:numId w:val="15"/>
      </w:numPr>
    </w:pPr>
    <w:rPr>
      <w:rFonts w:ascii="Source Sans Pro" w:eastAsiaTheme="minorEastAsia" w:hAnsi="Source Sans Pro" w:cs="Arial" w:asciiTheme="Source Sans Pro"/>
      <w:sz w:val="20"/>
      <w:lang w:val="en-US"/>
    </w:rPr>
  </w:style>
  <w:style w:type="paragraph" w:customStyle="1" w:styleId="MPLParagraphlevel3">
    <w:name w:val="MPL Paragraph level 3"/>
    <w:basedOn w:val="ListParagraph"/>
    <w:qFormat/>
    <w:rsid w:val="00373299"/>
    <w:pPr>
      <w:numPr>
        <w:ilvl w:val="3"/>
        <w:numId w:val="15"/>
      </w:numPr>
      <w:spacing w:before="120" w:after="120"/>
      <w:ind w:firstLine="6"/>
    </w:pPr>
    <w:rPr>
      <w:rFonts w:ascii="Source Sans Pro" w:eastAsiaTheme="minorEastAsia" w:hAnsi="Source Sans Pro" w:cs="Arial" w:asciiTheme="Source Sans Pro"/>
      <w:sz w:val="20"/>
      <w:lang w:val="en-US"/>
    </w:rPr>
  </w:style>
  <w:style w:type="paragraph" w:customStyle="1" w:styleId="MPLParagraphlevel4">
    <w:name w:val="MPL Paragraph level 4"/>
    <w:basedOn w:val="ListParagraph"/>
    <w:qFormat/>
    <w:rsid w:val="00373299"/>
    <w:pPr>
      <w:numPr>
        <w:ilvl w:val="4"/>
        <w:numId w:val="15"/>
      </w:numPr>
      <w:spacing w:afterLines="50" w:after="120"/>
    </w:pPr>
    <w:rPr>
      <w:rFonts w:ascii="Source Sans Pro" w:eastAsiaTheme="minorEastAsia" w:hAnsi="Source Sans Pro" w:cs="Arial" w:asciiTheme="Source Sans Pro"/>
      <w:sz w:val="20"/>
      <w:lang w:val="en-US"/>
    </w:rPr>
  </w:style>
  <w:style w:type="paragraph" w:customStyle="1" w:styleId="MPFSubheading">
    <w:name w:val="MPF Subheading"/>
    <w:basedOn w:val="Heading3"/>
    <w:qFormat/>
    <w:rsid w:val="00373299"/>
    <w:pPr>
      <w:keepNext/>
      <w:keepLines/>
      <w:spacing w:before="200" w:beforeAutospacing="0" w:afterLines="50" w:after="120" w:afterAutospacing="0" w:line="276" w:lineRule="auto"/>
    </w:pPr>
    <w:rPr>
      <w:rFonts w:ascii="Source Sans Pro" w:eastAsiaTheme="majorEastAsia" w:hAnsi="Source Sans Pro" w:cs="Arial" w:asciiTheme="Source Sans Pro"/>
      <w:color w:val="000F46"/>
      <w:sz w:val="28"/>
      <w:szCs w:val="22"/>
      <w:lang w:val="en-US" w:eastAsia="en-US"/>
    </w:rPr>
  </w:style>
  <w:style w:type="paragraph" w:customStyle="1" w:styleId="MPLParapgrah">
    <w:name w:val="MPL Parapgrah"/>
    <w:basedOn w:val="Normal"/>
    <w:qFormat/>
    <w:rsid w:val="00373299"/>
    <w:rPr>
      <w:rFonts w:ascii="Source Sans Pro" w:eastAsiaTheme="minorEastAsia" w:hAnsi="Source Sans Pro" w:cs="Arial"/>
      <w:sz w:val="20"/>
    </w:rPr>
  </w:style>
  <w:style w:type="paragraph" w:customStyle="1" w:styleId="MPLNoNumberingHeadings">
    <w:name w:val="MPL No Numbering Headings"/>
    <w:basedOn w:val="Heading2"/>
    <w:qFormat/>
    <w:rsid w:val="00373299"/>
    <w:pPr>
      <w:keepNext/>
      <w:keepLines/>
      <w:spacing w:before="200" w:beforeAutospacing="0" w:after="0" w:afterAutospacing="0" w:line="276" w:lineRule="auto"/>
    </w:pPr>
    <w:rPr>
      <w:rFonts w:ascii="Source Sans Pro" w:eastAsiaTheme="majorEastAsia" w:hAnsi="Source Sans Pro" w:cs="Arial" w:asciiTheme="Source Sans Pro"/>
      <w:color w:val="000F46"/>
      <w:sz w:val="32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49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63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0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82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47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646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8979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9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0334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97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669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2026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6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3126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277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636391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://www.legislation.vic.gov.au/domino/Web_Notes/LDMS/LTObject_Store/ltobjst10.nsf/DDE300B846EED9C7CA257616000A3571/57E03E58E80A32E4CA258326007E9CC4/$FILE/09-78aa007%20authorised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MPF12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MPF1106" TargetMode="External"/><Relationship Id="rId5" Type="http://schemas.openxmlformats.org/officeDocument/2006/relationships/styles" Target="styles.xml"/><Relationship Id="rId10" Type="http://schemas.openxmlformats.org/officeDocument/2006/relationships/hyperlink" Target="file:///MPF124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bout.unimelb.edu.au/strategy/governance/regulatory-framework/legislative-framework" TargetMode="External"/><Relationship Id="rId14" Type="http://schemas.openxmlformats.org/officeDocument/2006/relationships/theme" Target="theme/theme1.xml"/><Relationship Id="rId15" Type="http://schemas.openxmlformats.org/officeDocument/2006/relationships/hyperlink" Target="https://policy.unimelb.edu.au/category/Finance and Procu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_x0020_Name xmlns="e68fe3cb-86f0-48da-9bf1-f70836558893">TBC</Team_x0020_Name>
    <Document_x0020_Type_x0020_1 xmlns="e68fe3cb-86f0-48da-9bf1-f70836558893" xsi:nil="true"/>
    <Category_x0020_Level_x0020_1 xmlns="e68fe3cb-86f0-48da-9bf1-f70836558893" xsi:nil="true"/>
    <Document_x0020_Type xmlns="e68fe3cb-86f0-48da-9bf1-f70836558893" xsi:nil="true"/>
    <_x0065_gb5 xmlns="e68fe3cb-86f0-48da-9bf1-f70836558893" xsi:nil="true"/>
    <Project_x0020_Name xmlns="e68fe3cb-86f0-48da-9bf1-f70836558893" xsi:nil="true"/>
    <vg3s xmlns="e68fe3cb-86f0-48da-9bf1-f70836558893">TBC</vg3s>
    <Category_x0020_Level_x0020_2 xmlns="e68fe3cb-86f0-48da-9bf1-f70836558893" xsi:nil="true"/>
    <IconOverlay xmlns="http://schemas.microsoft.com/sharepoint/v4" xsi:nil="true"/>
    <TaxCatchAll xmlns="f07d8113-1d44-46cb-baa5-a742d0650dfc" xsi:nil="true"/>
    <lcf76f155ced4ddcb4097134ff3c332f xmlns="e68fe3cb-86f0-48da-9bf1-f708365588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1FDE2DB09C44E8EBA2FE7372D3FC2" ma:contentTypeVersion="26" ma:contentTypeDescription="Create a new document." ma:contentTypeScope="" ma:versionID="a8bf6a08878856b39961c7c673b61d02">
  <xsd:schema xmlns:xsd="http://www.w3.org/2001/XMLSchema" xmlns:xs="http://www.w3.org/2001/XMLSchema" xmlns:p="http://schemas.microsoft.com/office/2006/metadata/properties" xmlns:ns1="e68fe3cb-86f0-48da-9bf1-f70836558893" xmlns:ns3="470cc3d1-15e5-4c7a-82e2-201de48e4016" xmlns:ns4="http://schemas.microsoft.com/sharepoint/v4" xmlns:ns5="f07d8113-1d44-46cb-baa5-a742d0650dfc" targetNamespace="http://schemas.microsoft.com/office/2006/metadata/properties" ma:root="true" ma:fieldsID="e78666366b2d5874e7af83c3d9b0d088" ns1:_="" ns3:_="" ns4:_="" ns5:_="">
    <xsd:import namespace="e68fe3cb-86f0-48da-9bf1-f70836558893"/>
    <xsd:import namespace="470cc3d1-15e5-4c7a-82e2-201de48e4016"/>
    <xsd:import namespace="http://schemas.microsoft.com/sharepoint/v4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1:Team_x0020_Name" minOccurs="0"/>
                <xsd:element ref="ns1:_x0065_gb5" minOccurs="0"/>
                <xsd:element ref="ns1:Project_x0020_Name" minOccurs="0"/>
                <xsd:element ref="ns1:Category_x0020_Level_x0020_1" minOccurs="0"/>
                <xsd:element ref="ns1:Category_x0020_Level_x0020_2" minOccurs="0"/>
                <xsd:element ref="ns1:vg3s" minOccurs="0"/>
                <xsd:element ref="ns1:Document_x0020_Type_x0020_1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DateTaken" minOccurs="0"/>
                <xsd:element ref="ns1:Document_x0020_Type" minOccurs="0"/>
                <xsd:element ref="ns1:MediaServiceLocation" minOccurs="0"/>
                <xsd:element ref="ns1:MediaServiceEventHashCode" minOccurs="0"/>
                <xsd:element ref="ns1:MediaServiceGenerationTime" minOccurs="0"/>
                <xsd:element ref="ns4:IconOverlay" minOccurs="0"/>
                <xsd:element ref="ns1:MediaServiceAutoKeyPoints" minOccurs="0"/>
                <xsd:element ref="ns1:MediaServiceKeyPoints" minOccurs="0"/>
                <xsd:element ref="ns1:MediaLengthInSeconds" minOccurs="0"/>
                <xsd:element ref="ns1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fe3cb-86f0-48da-9bf1-f70836558893" elementFormDefault="qualified">
    <xsd:import namespace="http://schemas.microsoft.com/office/2006/documentManagement/types"/>
    <xsd:import namespace="http://schemas.microsoft.com/office/infopath/2007/PartnerControls"/>
    <xsd:element name="Team_x0020_Name" ma:index="0" nillable="true" ma:displayName="Team Name" ma:default="TBC" ma:description="Choose your team name" ma:format="Dropdown" ma:indexed="true" ma:internalName="Team_x0020_Name">
      <xsd:simpleType>
        <xsd:restriction base="dms:Choice">
          <xsd:enumeration value="Diamond - BC"/>
          <xsd:enumeration value="Diamond - DVP"/>
          <xsd:enumeration value="Diamond - BP"/>
          <xsd:enumeration value="Diamond - UX"/>
          <xsd:enumeration value="TBC"/>
          <xsd:enumeration value="PropTech"/>
          <xsd:enumeration value="Business Services"/>
          <xsd:enumeration value="Capital"/>
          <xsd:enumeration value="Proc Leadership Team"/>
          <xsd:enumeration value="Procurement General"/>
          <xsd:enumeration value="Property"/>
          <xsd:enumeration value="Research &amp; Teaching"/>
          <xsd:enumeration value="Scientific Equipment"/>
          <xsd:enumeration value="Technology"/>
        </xsd:restriction>
      </xsd:simpleType>
    </xsd:element>
    <xsd:element name="_x0065_gb5" ma:index="1" nillable="true" ma:displayName="Project Number" ma:description="Choose Project number from the list, secure it in tracker. If you need to generate a number that does not exist on the list, contact Julie Kennedy." ma:format="Dropdown" ma:internalName="_x0065_gb5">
      <xsd:simpleType>
        <xsd:restriction base="dms:Choice">
          <xsd:enumeration value="12-000"/>
          <xsd:enumeration value="Non Project"/>
          <xsd:enumeration value="13-342"/>
          <xsd:enumeration value="15-018"/>
          <xsd:enumeration value="15-056"/>
          <xsd:enumeration value="15-063"/>
          <xsd:enumeration value="15-451"/>
          <xsd:enumeration value="15-453"/>
          <xsd:enumeration value="15-470"/>
          <xsd:enumeration value="15-481"/>
          <xsd:enumeration value="15-484"/>
          <xsd:enumeration value="16-449"/>
          <xsd:enumeration value="16-510"/>
          <xsd:enumeration value="16-518"/>
          <xsd:enumeration value="16-526"/>
          <xsd:enumeration value="16-529"/>
          <xsd:enumeration value="16-586"/>
          <xsd:enumeration value="16-601"/>
          <xsd:enumeration value="17-015"/>
          <xsd:enumeration value="17-018"/>
          <xsd:enumeration value="17-022"/>
          <xsd:enumeration value="17-025"/>
          <xsd:enumeration value="17-033"/>
          <xsd:enumeration value="17-046"/>
          <xsd:enumeration value="17-047"/>
          <xsd:enumeration value="17-048"/>
          <xsd:enumeration value="17-049"/>
          <xsd:enumeration value="17-050"/>
          <xsd:enumeration value="17-051"/>
          <xsd:enumeration value="17-052"/>
          <xsd:enumeration value="17-053"/>
          <xsd:enumeration value="17-054"/>
          <xsd:enumeration value="17-055"/>
          <xsd:enumeration value="17-056"/>
          <xsd:enumeration value="17-057"/>
          <xsd:enumeration value="17-058"/>
          <xsd:enumeration value="17-059"/>
          <xsd:enumeration value="17-060"/>
          <xsd:enumeration value="17-061"/>
          <xsd:enumeration value="17-062"/>
          <xsd:enumeration value="17-063"/>
          <xsd:enumeration value="17-064"/>
          <xsd:enumeration value="17-065"/>
          <xsd:enumeration value="17-066"/>
          <xsd:enumeration value="17-067"/>
          <xsd:enumeration value="17-068"/>
          <xsd:enumeration value="17-069"/>
          <xsd:enumeration value="17-070"/>
          <xsd:enumeration value="17-071"/>
          <xsd:enumeration value="17-072"/>
          <xsd:enumeration value="17-073"/>
          <xsd:enumeration value="17-074"/>
          <xsd:enumeration value="17-075"/>
          <xsd:enumeration value="17-076"/>
          <xsd:enumeration value="17-077"/>
          <xsd:enumeration value="17-078"/>
          <xsd:enumeration value="17-079"/>
          <xsd:enumeration value="17-080"/>
          <xsd:enumeration value="17-081"/>
          <xsd:enumeration value="17-082"/>
          <xsd:enumeration value="17-083"/>
          <xsd:enumeration value="17-084"/>
          <xsd:enumeration value="17-085"/>
          <xsd:enumeration value="17-086"/>
          <xsd:enumeration value="17-087"/>
          <xsd:enumeration value="17-088"/>
          <xsd:enumeration value="17-089"/>
          <xsd:enumeration value="17-090"/>
          <xsd:enumeration value="17-091"/>
          <xsd:enumeration value="17-092"/>
          <xsd:enumeration value="17-093"/>
          <xsd:enumeration value="17-094"/>
          <xsd:enumeration value="17-095"/>
          <xsd:enumeration value="17-096"/>
          <xsd:enumeration value="17-097"/>
          <xsd:enumeration value="17-098"/>
          <xsd:enumeration value="17-099"/>
          <xsd:enumeration value="17-100"/>
          <xsd:enumeration value="17-101"/>
          <xsd:enumeration value="17-102"/>
          <xsd:enumeration value="17-103"/>
          <xsd:enumeration value="17-104"/>
          <xsd:enumeration value="17-105"/>
          <xsd:enumeration value="17-106"/>
          <xsd:enumeration value="17-107"/>
          <xsd:enumeration value="17-108"/>
          <xsd:enumeration value="17-109"/>
          <xsd:enumeration value="17-110"/>
          <xsd:enumeration value="17-111"/>
          <xsd:enumeration value="17-112"/>
          <xsd:enumeration value="17-113"/>
          <xsd:enumeration value="17-114"/>
          <xsd:enumeration value="17-115"/>
          <xsd:enumeration value="17-116"/>
          <xsd:enumeration value="17-117"/>
          <xsd:enumeration value="17-118"/>
          <xsd:enumeration value="17-119"/>
          <xsd:enumeration value="17-120"/>
          <xsd:enumeration value="17-121"/>
          <xsd:enumeration value="17-122"/>
          <xsd:enumeration value="17-123"/>
          <xsd:enumeration value="17-124"/>
          <xsd:enumeration value="17-125"/>
          <xsd:enumeration value="17-126"/>
          <xsd:enumeration value="17-127"/>
          <xsd:enumeration value="17-128"/>
          <xsd:enumeration value="17-129"/>
          <xsd:enumeration value="17-130"/>
          <xsd:enumeration value="17-131"/>
          <xsd:enumeration value="17-132"/>
          <xsd:enumeration value="17-133"/>
          <xsd:enumeration value="17-134"/>
          <xsd:enumeration value="17-135"/>
          <xsd:enumeration value="17-136"/>
          <xsd:enumeration value="17-137"/>
          <xsd:enumeration value="17-138"/>
          <xsd:enumeration value="17-139"/>
          <xsd:enumeration value="17-140"/>
          <xsd:enumeration value="17-141"/>
          <xsd:enumeration value="17-142"/>
          <xsd:enumeration value="17-143"/>
          <xsd:enumeration value="17-144"/>
          <xsd:enumeration value="17-145"/>
          <xsd:enumeration value="17-146"/>
          <xsd:enumeration value="17-147"/>
          <xsd:enumeration value="17-148"/>
          <xsd:enumeration value="17-149"/>
          <xsd:enumeration value="17-150"/>
          <xsd:enumeration value="17-151"/>
          <xsd:enumeration value="17-152"/>
          <xsd:enumeration value="17-153"/>
          <xsd:enumeration value="17-154"/>
          <xsd:enumeration value="17-155"/>
          <xsd:enumeration value="17-156"/>
          <xsd:enumeration value="17-157"/>
          <xsd:enumeration value="17-158"/>
          <xsd:enumeration value="17-159"/>
          <xsd:enumeration value="17-160"/>
          <xsd:enumeration value="17-161"/>
          <xsd:enumeration value="17-162"/>
          <xsd:enumeration value="17-163"/>
          <xsd:enumeration value="17-164"/>
          <xsd:enumeration value="17-165"/>
          <xsd:enumeration value="17-166"/>
          <xsd:enumeration value="17-167"/>
          <xsd:enumeration value="17-168"/>
          <xsd:enumeration value="17-169"/>
          <xsd:enumeration value="17-170"/>
          <xsd:enumeration value="17-171"/>
          <xsd:enumeration value="17-172"/>
          <xsd:enumeration value="17-173"/>
          <xsd:enumeration value="17-174"/>
          <xsd:enumeration value="17-175"/>
          <xsd:enumeration value="17-176"/>
          <xsd:enumeration value="17-177"/>
          <xsd:enumeration value="17-178"/>
          <xsd:enumeration value="17-179"/>
          <xsd:enumeration value="17-180"/>
          <xsd:enumeration value="17-181"/>
          <xsd:enumeration value="17-182"/>
          <xsd:enumeration value="17-183"/>
          <xsd:enumeration value="17-184"/>
          <xsd:enumeration value="17-185"/>
          <xsd:enumeration value="17-186"/>
          <xsd:enumeration value="17-187"/>
          <xsd:enumeration value="17-188"/>
          <xsd:enumeration value="17-189"/>
          <xsd:enumeration value="17-190"/>
          <xsd:enumeration value="17-191"/>
          <xsd:enumeration value="17-192"/>
          <xsd:enumeration value="17-193"/>
          <xsd:enumeration value="17-194"/>
          <xsd:enumeration value="17-195"/>
          <xsd:enumeration value="17-196"/>
          <xsd:enumeration value="17-197"/>
          <xsd:enumeration value="17-198"/>
          <xsd:enumeration value="17-199"/>
          <xsd:enumeration value="17-200"/>
          <xsd:enumeration value="17-201"/>
          <xsd:enumeration value="17-202"/>
          <xsd:enumeration value="17-203"/>
          <xsd:enumeration value="17-204"/>
          <xsd:enumeration value="17-205"/>
          <xsd:enumeration value="17-206"/>
          <xsd:enumeration value="17-207"/>
          <xsd:enumeration value="17-208"/>
          <xsd:enumeration value="17-209"/>
          <xsd:enumeration value="17-210"/>
          <xsd:enumeration value="17-211"/>
          <xsd:enumeration value="17-212"/>
          <xsd:enumeration value="17-213"/>
          <xsd:enumeration value="17-214"/>
          <xsd:enumeration value="17-215"/>
          <xsd:enumeration value="17-216"/>
          <xsd:enumeration value="17-217"/>
          <xsd:enumeration value="17-218"/>
          <xsd:enumeration value="17-219"/>
          <xsd:enumeration value="17-220"/>
          <xsd:enumeration value="17-221"/>
          <xsd:enumeration value="17-222"/>
          <xsd:enumeration value="17-223"/>
          <xsd:enumeration value="17-224"/>
          <xsd:enumeration value="17-225"/>
          <xsd:enumeration value="17-226"/>
          <xsd:enumeration value="17-227"/>
          <xsd:enumeration value="17-228"/>
          <xsd:enumeration value="17-229"/>
          <xsd:enumeration value="17-230"/>
          <xsd:enumeration value="17-231"/>
          <xsd:enumeration value="17-232"/>
          <xsd:enumeration value="17-233"/>
          <xsd:enumeration value="17-234"/>
          <xsd:enumeration value="17-235"/>
          <xsd:enumeration value="17-236"/>
          <xsd:enumeration value="17-237"/>
          <xsd:enumeration value="17-238"/>
          <xsd:enumeration value="17-239"/>
          <xsd:enumeration value="17-240"/>
          <xsd:enumeration value="17-241"/>
          <xsd:enumeration value="17-242"/>
          <xsd:enumeration value="17-243"/>
          <xsd:enumeration value="17-244"/>
          <xsd:enumeration value="17-245"/>
          <xsd:enumeration value="17-246"/>
          <xsd:enumeration value="17-247"/>
          <xsd:enumeration value="17-248"/>
          <xsd:enumeration value="17-249"/>
          <xsd:enumeration value="17-250"/>
          <xsd:enumeration value="17-251"/>
          <xsd:enumeration value="17-252"/>
          <xsd:enumeration value="17-253"/>
          <xsd:enumeration value="17-254"/>
          <xsd:enumeration value="17-255"/>
        </xsd:restriction>
      </xsd:simpleType>
    </xsd:element>
    <xsd:element name="Project_x0020_Name" ma:index="2" nillable="true" ma:displayName="Project Name" ma:description="Enter a clear project name here." ma:internalName="Project_x0020_Name">
      <xsd:simpleType>
        <xsd:restriction base="dms:Text">
          <xsd:maxLength value="255"/>
        </xsd:restriction>
      </xsd:simpleType>
    </xsd:element>
    <xsd:element name="Category_x0020_Level_x0020_1" ma:index="5" nillable="true" ma:displayName="Category Level 1" ma:description="Please choose the level 1 category list that applies to your project." ma:internalName="Category_x0020_Level_x0020_1">
      <xsd:simpleType>
        <xsd:restriction base="dms:Text">
          <xsd:maxLength value="255"/>
        </xsd:restriction>
      </xsd:simpleType>
    </xsd:element>
    <xsd:element name="Category_x0020_Level_x0020_2" ma:index="6" nillable="true" ma:displayName="Category Level 2" ma:description="Please choose the level 2 category list that applies to your project." ma:internalName="Category_x0020_Level_x0020_2">
      <xsd:simpleType>
        <xsd:restriction base="dms:Text">
          <xsd:maxLength value="255"/>
        </xsd:restriction>
      </xsd:simpleType>
    </xsd:element>
    <xsd:element name="vg3s" ma:index="7" nillable="true" ma:displayName="Project stage" ma:default="TBC" ma:format="Dropdown" ma:internalName="vg3s">
      <xsd:simpleType>
        <xsd:restriction base="dms:Choice">
          <xsd:enumeration value="TBC"/>
          <xsd:enumeration value="Non Project"/>
          <xsd:enumeration value="Data and analysis"/>
          <xsd:enumeration value="Business Case"/>
          <xsd:enumeration value="Sourcing"/>
          <xsd:enumeration value="Recommendation"/>
          <xsd:enumeration value="Contract"/>
          <xsd:enumeration value="Business as Usual"/>
        </xsd:restriction>
      </xsd:simpleType>
    </xsd:element>
    <xsd:element name="Document_x0020_Type_x0020_1" ma:index="8" nillable="true" ma:displayName="Document Type 1" ma:internalName="Document_x0020_Type_x0020_1">
      <xsd:simpleType>
        <xsd:restriction base="dms:Choice">
          <xsd:enumeration value="Document"/>
          <xsd:enumeration value="Presentation"/>
          <xsd:enumeration value="Spreadsheet"/>
          <xsd:enumeration value="Contract"/>
          <xsd:enumeration value="Tender"/>
          <xsd:enumeration value="Business Case"/>
          <xsd:enumeration value="Recommendatio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Type" ma:index="22" nillable="true" ma:displayName="Document Type" ma:description="enter doc type - eg RFT resposne, RFT content, Analysis, Schedules etc" ma:internalName="Document_x0020_Type">
      <xsd:simpleType>
        <xsd:restriction base="dms:Text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c3d1-15e5-4c7a-82e2-201de48e4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cdd9c5f8-e2f4-49f8-95db-9bb2fdb9f41e}" ma:internalName="TaxCatchAll" ma:showField="CatchAllData" ma:web="470cc3d1-15e5-4c7a-82e2-201de48e4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41A7E-B5FC-4B1B-BF98-84A0735881A4}">
  <ds:schemaRefs>
    <ds:schemaRef ds:uri="http://schemas.microsoft.com/office/2006/metadata/properties"/>
    <ds:schemaRef ds:uri="http://schemas.microsoft.com/office/infopath/2007/PartnerControls"/>
    <ds:schemaRef ds:uri="e68fe3cb-86f0-48da-9bf1-f70836558893"/>
    <ds:schemaRef ds:uri="http://schemas.microsoft.com/sharepoint/v4"/>
    <ds:schemaRef ds:uri="f07d8113-1d44-46cb-baa5-a742d0650dfc"/>
  </ds:schemaRefs>
</ds:datastoreItem>
</file>

<file path=customXml/itemProps2.xml><?xml version="1.0" encoding="utf-8"?>
<ds:datastoreItem xmlns:ds="http://schemas.openxmlformats.org/officeDocument/2006/customXml" ds:itemID="{C9D59F6D-C714-41ED-A32F-E2E8C540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fe3cb-86f0-48da-9bf1-f70836558893"/>
    <ds:schemaRef ds:uri="470cc3d1-15e5-4c7a-82e2-201de48e4016"/>
    <ds:schemaRef ds:uri="http://schemas.microsoft.com/sharepoint/v4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081A5-FFAB-4B19-A83B-EE021F363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Colombi</dc:creator>
  <cp:lastModifiedBy>Gabbie Hepworth</cp:lastModifiedBy>
  <cp:revision>3</cp:revision>
  <cp:lastPrinted>2022-06-22T02:59:00Z</cp:lastPrinted>
  <dcterms:created xsi:type="dcterms:W3CDTF">2023-04-17T01:12:00Z</dcterms:created>
  <dcterms:modified xsi:type="dcterms:W3CDTF">2023-04-17T01:13:00Z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0x010100A671FDE2DB09C44E8EBA2FE7372D3FC2</vt:lpwstr>
  </property>
  <property fmtid="{D5CDD505-2E9C-101B-9397-08002B2CF9AE}" pid="3" name="MediaServiceImageTags">
    <vt:lpwstr/>
  </property>
</Properties>
</file>