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r>
        <w:rPr>
          <w:b/>
        </w:rPr>
        <w:t>Graduation Policy (MPF1055)</w:t>
      </w:r>
    </w:p>
    <w:p>
      <w:r/>
    </w:p>
    <w:p>
      <w:r>
        <w:rPr>
          <w:rFonts w:ascii="Source Sans Pro" w:hAnsi="Source Sans Pro"/>
          <w:b/>
          <w:sz w:val="20"/>
        </w:rPr>
        <w:t xml:space="preserve">Category: </w:t>
      </w:r>
      <w:r/>
      <w:hyperlink r:id="rId16">
        <w:r>
          <w:rPr>
            <w:color w:val="0000FF"/>
            <w:u w:val="single"/>
          </w:rPr>
          <w:t xml:space="preserve"> Student Management and Support </w:t>
        </w:r>
      </w:hyperlink>
      <w:r/>
      <w:r>
        <w:br/>
      </w:r>
      <w:r>
        <w:rPr>
          <w:rFonts w:ascii="Source Sans Pro" w:hAnsi="Source Sans Pro"/>
          <w:b/>
          <w:sz w:val="20"/>
        </w:rPr>
        <w:t xml:space="preserve">Version: </w:t>
      </w:r>
      <w:r>
        <w:rPr>
          <w:rFonts w:ascii="Source Sans Pro" w:hAnsi="Source Sans Pro"/>
          <w:sz w:val="20"/>
        </w:rPr>
        <w:t>7</w:t>
        <w:br/>
      </w:r>
      <w:r>
        <w:rPr>
          <w:rFonts w:ascii="Source Sans Pro" w:hAnsi="Source Sans Pro"/>
          <w:b/>
          <w:sz w:val="20"/>
        </w:rPr>
        <w:t xml:space="preserve">Document Type: </w:t>
      </w:r>
      <w:r>
        <w:rPr>
          <w:rFonts w:ascii="Source Sans Pro" w:hAnsi="Source Sans Pro"/>
          <w:sz w:val="20"/>
        </w:rPr>
        <w:t>Policy</w:t>
        <w:br/>
      </w:r>
      <w:r>
        <w:rPr>
          <w:rFonts w:ascii="Source Sans Pro" w:hAnsi="Source Sans Pro"/>
          <w:b/>
          <w:sz w:val="20"/>
        </w:rPr>
        <w:t xml:space="preserve">Document Status: </w:t>
      </w:r>
      <w:r>
        <w:rPr>
          <w:rFonts w:ascii="Source Sans Pro" w:hAnsi="Source Sans Pro"/>
          <w:sz w:val="20"/>
        </w:rPr>
        <w:t>Published</w:t>
        <w:br/>
      </w:r>
      <w:r>
        <w:rPr>
          <w:rFonts w:ascii="Source Sans Pro" w:hAnsi="Source Sans Pro"/>
          <w:b/>
          <w:sz w:val="20"/>
        </w:rPr>
        <w:t xml:space="preserve">Approved Date: </w:t>
      </w:r>
      <w:r>
        <w:rPr>
          <w:rFonts w:ascii="Source Sans Pro" w:hAnsi="Source Sans Pro"/>
          <w:sz w:val="20"/>
        </w:rPr>
        <w:t>07 December, 2022</w:t>
        <w:br/>
      </w:r>
      <w:r>
        <w:rPr>
          <w:rFonts w:ascii="Source Sans Pro" w:hAnsi="Source Sans Pro"/>
          <w:b/>
          <w:sz w:val="20"/>
        </w:rPr>
        <w:t xml:space="preserve">Audience: </w:t>
      </w:r>
      <w:r>
        <w:rPr>
          <w:rFonts w:ascii="Source Sans Pro" w:hAnsi="Source Sans Pro"/>
          <w:sz w:val="20"/>
        </w:rPr>
        <w:t>Staff, Students, Research, Academic</w:t>
        <w:br/>
      </w:r>
      <w:r>
        <w:rPr>
          <w:rFonts w:ascii="Source Sans Pro" w:hAnsi="Source Sans Pro"/>
          <w:b/>
          <w:sz w:val="20"/>
        </w:rPr>
        <w:t xml:space="preserve">Effective Date: </w:t>
      </w:r>
      <w:r>
        <w:rPr>
          <w:rFonts w:ascii="Source Sans Pro" w:hAnsi="Source Sans Pro"/>
          <w:sz w:val="20"/>
        </w:rPr>
        <w:t>22 December, 2022</w:t>
        <w:br/>
      </w:r>
      <w:r>
        <w:rPr>
          <w:rFonts w:ascii="Source Sans Pro" w:hAnsi="Source Sans Pro"/>
          <w:b/>
          <w:sz w:val="20"/>
        </w:rPr>
        <w:t xml:space="preserve">Review due by: </w:t>
      </w:r>
      <w:r>
        <w:rPr>
          <w:rFonts w:ascii="Source Sans Pro" w:hAnsi="Source Sans Pro"/>
          <w:sz w:val="20"/>
        </w:rPr>
        <w:t>22 December, 2025</w:t>
        <w:br/>
      </w:r>
      <w:r>
        <w:rPr>
          <w:rFonts w:ascii="Source Sans Pro" w:hAnsi="Source Sans Pro"/>
          <w:b/>
          <w:sz w:val="20"/>
        </w:rPr>
        <w:t xml:space="preserve">Policy Approver: </w:t>
      </w:r>
      <w:r>
        <w:rPr>
          <w:rFonts w:ascii="Source Sans Pro" w:hAnsi="Source Sans Pro"/>
          <w:sz w:val="20"/>
        </w:rPr>
        <w:t>Council</w:t>
        <w:br/>
      </w:r>
      <w:r>
        <w:rPr>
          <w:rFonts w:ascii="Source Sans Pro" w:hAnsi="Source Sans Pro"/>
          <w:b/>
          <w:sz w:val="20"/>
        </w:rPr>
        <w:t xml:space="preserve">Policy Steward: </w:t>
      </w:r>
      <w:r>
        <w:rPr>
          <w:rFonts w:ascii="Source Sans Pro" w:hAnsi="Source Sans Pro"/>
          <w:sz w:val="20"/>
        </w:rPr>
        <w:t>Executive Director, Student And Scholarly Services And Academic Registrar</w:t>
        <w:br/>
      </w:r>
      <w:r>
        <w:rPr>
          <w:rFonts w:ascii="Source Sans Pro" w:hAnsi="Source Sans Pro"/>
          <w:b/>
          <w:sz w:val="20"/>
        </w:rPr>
        <w:t xml:space="preserve">Supporting Process: </w:t>
      </w:r>
      <w:r/>
      <w:r>
        <w:br/>
      </w:r>
      <w:hyperlink r:id="rId17">
        <w:r>
          <w:rPr>
            <w:color w:val="0000FF"/>
            <w:u w:val="single"/>
          </w:rPr>
          <w:t>Student Management and Support Processes</w:t>
        </w:r>
      </w:hyperlink>
      <w:r/>
      <w:r>
        <w:br/>
      </w:r>
    </w:p>
    <w:p w14:paraId="33C9269D" w14:textId="18283C4B" w:rsidR="00CB104F" w:rsidRPr="00BC7633" w:rsidRDefault="00CB104F" w:rsidP="00657942">
      <w:pPr>
        <w:pStyle w:val="MPLHeading1"/>
      </w:pPr>
      <w:r w:rsidRPr="00BC7633">
        <w:t>Objective</w:t>
      </w:r>
    </w:p>
    <w:p w14:paraId="46DB1938" w14:textId="77777777" w:rsidR="00CB104F" w:rsidRPr="00BC7633" w:rsidRDefault="00CB104F" w:rsidP="008679F1">
      <w:pPr>
        <w:pStyle w:val="MPLParagraphlevel1"/>
      </w:pPr>
      <w:r w:rsidRPr="008679F1">
        <w:t>The</w:t>
      </w:r>
      <w:r w:rsidRPr="00BC7633">
        <w:t xml:space="preserve"> objectives of this policy are to:</w:t>
      </w:r>
    </w:p>
    <w:p w14:paraId="5E635E6C" w14:textId="5C74505B" w:rsidR="00CB104F" w:rsidRPr="00BC7633" w:rsidRDefault="00CB104F" w:rsidP="00657942">
      <w:pPr>
        <w:pStyle w:val="MPLParagraphlevel2"/>
      </w:pPr>
      <w:r w:rsidRPr="00BC7633">
        <w:t>define who is eligible for formal conferral of an award by University Council</w:t>
      </w:r>
      <w:r>
        <w:t xml:space="preserve"> or </w:t>
      </w:r>
      <w:proofErr w:type="spellStart"/>
      <w:r>
        <w:t>authorised</w:t>
      </w:r>
      <w:proofErr w:type="spellEnd"/>
      <w:r>
        <w:t xml:space="preserve"> delegate</w:t>
      </w:r>
      <w:r w:rsidRPr="00BC7633">
        <w:t>;</w:t>
      </w:r>
    </w:p>
    <w:p w14:paraId="252A3059" w14:textId="2EEECD9B" w:rsidR="00CB104F" w:rsidRPr="00BC7633" w:rsidRDefault="00CB104F" w:rsidP="00657942">
      <w:pPr>
        <w:pStyle w:val="MPLParagraphlevel2"/>
      </w:pPr>
      <w:r w:rsidRPr="00BC7633">
        <w:t>define who is responsible for the management of graduation ceremonies; and</w:t>
      </w:r>
    </w:p>
    <w:p w14:paraId="5E8D9B60" w14:textId="6C07BD7D" w:rsidR="00CB104F" w:rsidRPr="00BC7633" w:rsidRDefault="00CB104F" w:rsidP="00657942">
      <w:pPr>
        <w:pStyle w:val="MPLParagraphlevel2"/>
      </w:pPr>
      <w:r w:rsidRPr="00BC7633">
        <w:t>outline under what circumstances and how the award may be presented.</w:t>
      </w:r>
    </w:p>
    <w:p w14:paraId="798E91EE" w14:textId="76316C72" w:rsidR="00CB104F" w:rsidRPr="00BC7633" w:rsidRDefault="00CB104F" w:rsidP="00657942">
      <w:pPr>
        <w:pStyle w:val="MPLHeading1"/>
      </w:pPr>
      <w:r w:rsidRPr="00BC7633">
        <w:t>Scope</w:t>
      </w:r>
    </w:p>
    <w:p w14:paraId="6D81526A" w14:textId="77777777" w:rsidR="00CB104F" w:rsidRPr="00BC7633" w:rsidRDefault="00CB104F" w:rsidP="008679F1">
      <w:pPr>
        <w:pStyle w:val="MPLParagraphlevel1"/>
      </w:pPr>
      <w:r w:rsidRPr="00BC7633">
        <w:t>This policy applies to all awards courses at the University.</w:t>
      </w:r>
    </w:p>
    <w:p w14:paraId="1543AF8F" w14:textId="6AB03758" w:rsidR="00CB104F" w:rsidRPr="00BC7633" w:rsidRDefault="00CB104F" w:rsidP="00657942">
      <w:pPr>
        <w:pStyle w:val="MPLHeading1"/>
      </w:pPr>
      <w:r w:rsidRPr="00BC7633">
        <w:t>Authority</w:t>
      </w:r>
    </w:p>
    <w:p w14:paraId="60B2CEF3" w14:textId="77777777" w:rsidR="00CB104F" w:rsidRPr="00BC7633" w:rsidRDefault="00CB104F" w:rsidP="008679F1">
      <w:pPr>
        <w:pStyle w:val="MPLParagraphlevel1"/>
      </w:pPr>
      <w:r w:rsidRPr="00BC7633">
        <w:t xml:space="preserve">This policy is made under the </w:t>
      </w:r>
      <w:r w:rsidRPr="00BC7633">
        <w:rPr>
          <w:i/>
        </w:rPr>
        <w:t xml:space="preserve">University of Melbourne Act 2009 </w:t>
      </w:r>
      <w:r w:rsidRPr="00BC7633">
        <w:t>(Vic), the University of Melbourne Statute and the Council Regulation.</w:t>
      </w:r>
    </w:p>
    <w:p w14:paraId="46BA1D7D" w14:textId="47A377C2" w:rsidR="00CB104F" w:rsidRPr="00BC7633" w:rsidRDefault="00CB104F" w:rsidP="00657942">
      <w:pPr>
        <w:pStyle w:val="MPLHeading1"/>
      </w:pPr>
      <w:r w:rsidRPr="00BC7633">
        <w:t>Policy</w:t>
      </w:r>
    </w:p>
    <w:p w14:paraId="6D0A1CC0" w14:textId="6AB5E365" w:rsidR="00CB104F" w:rsidRPr="00BC7633" w:rsidRDefault="00CB104F" w:rsidP="008679F1">
      <w:pPr>
        <w:pStyle w:val="MPLParagraphlevel1"/>
      </w:pPr>
      <w:r w:rsidRPr="00BC7633">
        <w:t>Every person who fulfils the requirements for completion of an award course is eligible for formal conferral of the award by University Council.</w:t>
      </w:r>
    </w:p>
    <w:p w14:paraId="37FDD182" w14:textId="3E827E82" w:rsidR="00CB104F" w:rsidRPr="00BC7633" w:rsidRDefault="00CB104F" w:rsidP="008679F1">
      <w:pPr>
        <w:pStyle w:val="MPLParagraphlevel1"/>
      </w:pPr>
      <w:r>
        <w:t>S</w:t>
      </w:r>
      <w:r w:rsidRPr="00BC7633">
        <w:t xml:space="preserve">tudents cannot </w:t>
      </w:r>
      <w:r>
        <w:t>have their degree conferred</w:t>
      </w:r>
      <w:r w:rsidRPr="00BC7633">
        <w:t xml:space="preserve"> unless they have </w:t>
      </w:r>
      <w:r>
        <w:t>fulfilled</w:t>
      </w:r>
      <w:r w:rsidRPr="00BC7633">
        <w:t xml:space="preserve"> all </w:t>
      </w:r>
      <w:r>
        <w:t>course</w:t>
      </w:r>
      <w:r w:rsidRPr="00BC7633">
        <w:t xml:space="preserve"> requirements</w:t>
      </w:r>
      <w:r>
        <w:t xml:space="preserve"> and their completion has been ratified.</w:t>
      </w:r>
    </w:p>
    <w:p w14:paraId="1F5B4776" w14:textId="34D3391C" w:rsidR="00CB104F" w:rsidRPr="00BC7633" w:rsidRDefault="00CB104F" w:rsidP="008679F1">
      <w:pPr>
        <w:pStyle w:val="MPLParagraphlevel1"/>
      </w:pPr>
      <w:r>
        <w:t>The c</w:t>
      </w:r>
      <w:r w:rsidRPr="00BC7633">
        <w:t xml:space="preserve">onferral of degrees </w:t>
      </w:r>
      <w:r>
        <w:t xml:space="preserve">takes place separately to the graduation ceremony and </w:t>
      </w:r>
      <w:r w:rsidRPr="00BC7633">
        <w:t>will occur on a rolling basis throughout the year</w:t>
      </w:r>
      <w:r>
        <w:t xml:space="preserve">. The University will automatically confer awards for bachelor or </w:t>
      </w:r>
      <w:proofErr w:type="gramStart"/>
      <w:r>
        <w:t>master</w:t>
      </w:r>
      <w:proofErr w:type="gramEnd"/>
      <w:r>
        <w:t xml:space="preserve"> degree students at the next available conferral date unless they request a deferral of their conferral by the stated deadline. Students may defer their conferral to a future approved conferral date up to a maximum of 12 months from their course completion.</w:t>
      </w:r>
    </w:p>
    <w:p w14:paraId="0BD14E8A" w14:textId="7CF3E54D" w:rsidR="00CB104F" w:rsidRDefault="00CB104F" w:rsidP="008679F1">
      <w:pPr>
        <w:pStyle w:val="MPLParagraphlevel1"/>
      </w:pPr>
      <w:r>
        <w:t>The University will automatically confer awards for doctoral degree students who do not nominate an approved conferral date within twelve months of completion of their course.</w:t>
      </w:r>
    </w:p>
    <w:p w14:paraId="77BEC159" w14:textId="15518856" w:rsidR="00CB104F" w:rsidRPr="00BC7633" w:rsidRDefault="00CB104F" w:rsidP="008679F1">
      <w:pPr>
        <w:pStyle w:val="MPLParagraphlevel1"/>
      </w:pPr>
      <w:r w:rsidRPr="00BC7633">
        <w:t>The University will automatically confer awards for all Postgraduate/Graduate Diploma or Certificate Awards</w:t>
      </w:r>
      <w:r>
        <w:t>.</w:t>
      </w:r>
    </w:p>
    <w:p w14:paraId="6C0C5C87" w14:textId="5BC5CBA5" w:rsidR="00CB104F" w:rsidRDefault="00CB104F" w:rsidP="008679F1">
      <w:pPr>
        <w:pStyle w:val="MPLParagraphlevel1"/>
      </w:pPr>
      <w:r>
        <w:t>Students with outstanding fees, debts or fines are not eligible to have their degrees conferred until such sanctions have been cleared or paid.</w:t>
      </w:r>
    </w:p>
    <w:p w14:paraId="3146A825" w14:textId="640A72B5" w:rsidR="00CB104F" w:rsidRDefault="00CB104F" w:rsidP="008679F1">
      <w:pPr>
        <w:pStyle w:val="MPLParagraphlevel1"/>
      </w:pPr>
      <w:r>
        <w:t>In exceptional circumstances, the University, with approval from University Council, may choose to confer awards during a graduation ceremony.</w:t>
      </w:r>
    </w:p>
    <w:p w14:paraId="7EAD6C14" w14:textId="7C2A1B49" w:rsidR="00CB104F" w:rsidRDefault="00CB104F" w:rsidP="008679F1">
      <w:pPr>
        <w:pStyle w:val="MPLParagraphlevel1"/>
      </w:pPr>
      <w:r>
        <w:t xml:space="preserve">The University will provide graduates with academic statements, including academic transcripts, Australian Higher Education Graduation Statements (AHEGS) and </w:t>
      </w:r>
      <w:proofErr w:type="spellStart"/>
      <w:r>
        <w:t>testamurs</w:t>
      </w:r>
      <w:proofErr w:type="spellEnd"/>
      <w:r>
        <w:t xml:space="preserve">, at conferral. The University will </w:t>
      </w:r>
      <w:proofErr w:type="gramStart"/>
      <w:r>
        <w:t>make arrangements</w:t>
      </w:r>
      <w:proofErr w:type="gramEnd"/>
      <w:r>
        <w:t xml:space="preserve"> for either the postal dispatch of the </w:t>
      </w:r>
      <w:proofErr w:type="spellStart"/>
      <w:r>
        <w:t>testamur</w:t>
      </w:r>
      <w:proofErr w:type="spellEnd"/>
      <w:r>
        <w:t>, or otherwise for collection.</w:t>
      </w:r>
    </w:p>
    <w:p w14:paraId="5E1836E5" w14:textId="63322BC0" w:rsidR="00CB104F" w:rsidRPr="00BC7633" w:rsidRDefault="00CB104F" w:rsidP="008679F1">
      <w:pPr>
        <w:pStyle w:val="MPLParagraphlevel1"/>
      </w:pPr>
      <w:r>
        <w:t>B</w:t>
      </w:r>
      <w:r w:rsidRPr="00BC7633">
        <w:t>achelor</w:t>
      </w:r>
      <w:r>
        <w:t>,</w:t>
      </w:r>
      <w:r w:rsidRPr="00BC7633">
        <w:t xml:space="preserve"> master</w:t>
      </w:r>
      <w:r>
        <w:t xml:space="preserve"> and doctoral</w:t>
      </w:r>
      <w:r w:rsidRPr="00BC7633">
        <w:t xml:space="preserve"> degree students </w:t>
      </w:r>
      <w:r>
        <w:t xml:space="preserve">may </w:t>
      </w:r>
      <w:r w:rsidRPr="00BC7633">
        <w:t>attend a graduation ceremony</w:t>
      </w:r>
      <w:r>
        <w:t xml:space="preserve"> after the conferral of their degree</w:t>
      </w:r>
      <w:r w:rsidRPr="00BC7633">
        <w:t xml:space="preserve">. </w:t>
      </w:r>
      <w:r>
        <w:t>Students must have received and responded to a ceremony invitation from the Graduations Office by the stated deadline in order to attend a graduation ceremony.</w:t>
      </w:r>
    </w:p>
    <w:p w14:paraId="61FEE44D" w14:textId="75C9AFC3" w:rsidR="00CB104F" w:rsidRPr="00BC7633" w:rsidRDefault="00CB104F" w:rsidP="008679F1">
      <w:pPr>
        <w:pStyle w:val="MPLParagraphlevel1"/>
      </w:pPr>
      <w:r>
        <w:t>Students enrolled in Postgraduate/Graduate Diploma or Certificate courses offered by the Melbourne Business School or the Faculty of Fine Arts and Music have the option of attending a ceremony after their conferral has taken place.</w:t>
      </w:r>
    </w:p>
    <w:p w14:paraId="0A895A82" w14:textId="47CB89C2" w:rsidR="00CB104F" w:rsidRDefault="00CB104F" w:rsidP="008679F1">
      <w:pPr>
        <w:pStyle w:val="MPLParagraphlevel1"/>
      </w:pPr>
      <w:r>
        <w:t>Graduates have a maximum of 12 months to attend a ceremony from their conferral date.</w:t>
      </w:r>
    </w:p>
    <w:p w14:paraId="5261DC5B" w14:textId="26E593AA" w:rsidR="00CB104F" w:rsidRPr="00BC7633" w:rsidRDefault="00CB104F" w:rsidP="008679F1">
      <w:pPr>
        <w:pStyle w:val="MPLParagraphlevel1"/>
      </w:pPr>
      <w:r w:rsidRPr="00BC7633">
        <w:lastRenderedPageBreak/>
        <w:t xml:space="preserve">Where a student has </w:t>
      </w:r>
      <w:r>
        <w:t>passed away</w:t>
      </w:r>
      <w:r w:rsidRPr="00BC7633">
        <w:t xml:space="preserve"> before conferral of their award, but after completing all the requirements for the award, the award will be conferred posthumously, </w:t>
      </w:r>
      <w:r>
        <w:t xml:space="preserve">and presented or posted </w:t>
      </w:r>
      <w:r w:rsidRPr="00BC7633">
        <w:t>to a nominated representative of the deceased student’s estate</w:t>
      </w:r>
      <w:r>
        <w:t>.</w:t>
      </w:r>
    </w:p>
    <w:p w14:paraId="0F4F7291" w14:textId="1B5024A0" w:rsidR="00CB104F" w:rsidRPr="00BC7633" w:rsidRDefault="00CB104F" w:rsidP="00657942">
      <w:pPr>
        <w:pStyle w:val="MPLHeading1"/>
      </w:pPr>
      <w:r w:rsidRPr="00BC7633">
        <w:t>Procedural principles</w:t>
      </w:r>
    </w:p>
    <w:p w14:paraId="75EAE08A" w14:textId="45440E8B" w:rsidR="00CB104F" w:rsidRPr="00BC7633" w:rsidRDefault="00CB104F" w:rsidP="008679F1">
      <w:pPr>
        <w:pStyle w:val="MPLParagraphlevel1"/>
      </w:pPr>
      <w:r w:rsidRPr="00BC7633">
        <w:t xml:space="preserve">Council will </w:t>
      </w:r>
      <w:proofErr w:type="spellStart"/>
      <w:r w:rsidRPr="00BC7633">
        <w:t>authorise</w:t>
      </w:r>
      <w:proofErr w:type="spellEnd"/>
      <w:r w:rsidRPr="00BC7633">
        <w:t xml:space="preserve"> the conferral of awards and the scheduling and conduct of graduation ceremonies.</w:t>
      </w:r>
    </w:p>
    <w:p w14:paraId="4EB5135B" w14:textId="5A8CFEAE" w:rsidR="00CB104F" w:rsidRPr="00BC7633" w:rsidRDefault="00CB104F" w:rsidP="008679F1">
      <w:pPr>
        <w:pStyle w:val="MPLParagraphlevel1"/>
      </w:pPr>
      <w:r w:rsidRPr="00BC7633">
        <w:t xml:space="preserve">The specified forms of words included in the </w:t>
      </w:r>
      <w:hyperlink r:id="rId12" w:history="1">
        <w:r w:rsidR="00BD53C9" w:rsidRPr="00BD53C9">
          <w:rPr>
            <w:rStyle w:val="Hyperlink"/>
            <w:color w:val="4F81BD" w:themeColor="accent1"/>
          </w:rPr>
          <w:t>order of proceedings</w:t>
        </w:r>
      </w:hyperlink>
      <w:r w:rsidR="00BD53C9">
        <w:t xml:space="preserve"> </w:t>
      </w:r>
      <w:r w:rsidRPr="00BC7633">
        <w:t>may not be amended without approval of the University Council.</w:t>
      </w:r>
    </w:p>
    <w:p w14:paraId="13B46267" w14:textId="13417543" w:rsidR="00CB104F" w:rsidRPr="00BC7633" w:rsidRDefault="00CB104F" w:rsidP="008679F1">
      <w:pPr>
        <w:pStyle w:val="MPLParagraphlevel1"/>
      </w:pPr>
      <w:r w:rsidRPr="00BC7633">
        <w:t xml:space="preserve">The Academic Registrar will manage and coordinate all aspects of University graduation ceremonies </w:t>
      </w:r>
      <w:proofErr w:type="spellStart"/>
      <w:r w:rsidRPr="00BC7633">
        <w:t>authorised</w:t>
      </w:r>
      <w:proofErr w:type="spellEnd"/>
      <w:r w:rsidRPr="00BC7633">
        <w:t xml:space="preserve"> by Council and reserves the right to alter ceremony schedules as required.</w:t>
      </w:r>
    </w:p>
    <w:p w14:paraId="0A2FC2D1" w14:textId="055F2877" w:rsidR="00CB104F" w:rsidRPr="00BC7633" w:rsidRDefault="00CB104F" w:rsidP="00657942">
      <w:pPr>
        <w:pStyle w:val="MPLHeading1"/>
      </w:pPr>
      <w:r w:rsidRPr="00BC7633"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B104F" w:rsidRPr="00BC7633" w14:paraId="347BB41E" w14:textId="77777777" w:rsidTr="00EC1C6F">
        <w:tc>
          <w:tcPr>
            <w:tcW w:w="2880" w:type="dxa"/>
          </w:tcPr>
          <w:p w14:paraId="655184A5" w14:textId="77777777" w:rsidR="00CB104F" w:rsidRPr="00BC7633" w:rsidRDefault="00CB104F" w:rsidP="00657942">
            <w:pPr>
              <w:pStyle w:val="MPLParapgrah"/>
            </w:pPr>
          </w:p>
          <w:p w14:paraId="035A9B0B" w14:textId="77777777" w:rsidR="00CB104F" w:rsidRPr="00BC7633" w:rsidRDefault="00CB104F" w:rsidP="00657942">
            <w:pPr>
              <w:pStyle w:val="MPLParapgrah"/>
            </w:pPr>
            <w:r w:rsidRPr="00BC7633">
              <w:rPr>
                <w:i/>
              </w:rPr>
              <w:t>Role/Decision/Action</w:t>
            </w:r>
          </w:p>
        </w:tc>
        <w:tc>
          <w:tcPr>
            <w:tcW w:w="2880" w:type="dxa"/>
          </w:tcPr>
          <w:p w14:paraId="45FA9417" w14:textId="77777777" w:rsidR="00CB104F" w:rsidRPr="00BC7633" w:rsidRDefault="00CB104F" w:rsidP="00657942">
            <w:pPr>
              <w:pStyle w:val="MPLParapgrah"/>
            </w:pPr>
          </w:p>
          <w:p w14:paraId="39101ECE" w14:textId="77777777" w:rsidR="00CB104F" w:rsidRPr="00BC7633" w:rsidRDefault="00CB104F" w:rsidP="00657942">
            <w:pPr>
              <w:pStyle w:val="MPLParapgrah"/>
            </w:pPr>
            <w:r w:rsidRPr="00BC7633">
              <w:rPr>
                <w:i/>
              </w:rPr>
              <w:t>Responsibility</w:t>
            </w:r>
          </w:p>
        </w:tc>
        <w:tc>
          <w:tcPr>
            <w:tcW w:w="2880" w:type="dxa"/>
          </w:tcPr>
          <w:p w14:paraId="3A7AA69E" w14:textId="77777777" w:rsidR="00CB104F" w:rsidRPr="00BC7633" w:rsidRDefault="00CB104F" w:rsidP="00657942">
            <w:pPr>
              <w:pStyle w:val="MPLParapgrah"/>
            </w:pPr>
          </w:p>
          <w:p w14:paraId="0E56D6D0" w14:textId="77777777" w:rsidR="00CB104F" w:rsidRPr="00BC7633" w:rsidRDefault="00CB104F" w:rsidP="00657942">
            <w:pPr>
              <w:pStyle w:val="MPLParapgrah"/>
            </w:pPr>
            <w:r w:rsidRPr="00BC7633">
              <w:rPr>
                <w:i/>
              </w:rPr>
              <w:t>Conditions and limitations</w:t>
            </w:r>
          </w:p>
        </w:tc>
      </w:tr>
      <w:tr w:rsidR="00CB104F" w:rsidRPr="00BC7633" w14:paraId="3B66318B" w14:textId="77777777" w:rsidTr="00EC1C6F">
        <w:tc>
          <w:tcPr>
            <w:tcW w:w="2880" w:type="dxa"/>
          </w:tcPr>
          <w:p w14:paraId="08B9B27A" w14:textId="77777777" w:rsidR="00CB104F" w:rsidRPr="00BC7633" w:rsidRDefault="00CB104F" w:rsidP="00657942">
            <w:pPr>
              <w:pStyle w:val="MPLParapgrah"/>
            </w:pPr>
          </w:p>
          <w:p w14:paraId="5700A20C" w14:textId="77777777" w:rsidR="00CB104F" w:rsidRPr="00BC7633" w:rsidRDefault="00CB104F" w:rsidP="00657942">
            <w:pPr>
              <w:pStyle w:val="MPLParapgrah"/>
            </w:pPr>
            <w:r w:rsidRPr="00BC7633">
              <w:t>Authorise the conferral of awards and the scheduling and conduct of graduation ceremonies</w:t>
            </w:r>
          </w:p>
        </w:tc>
        <w:tc>
          <w:tcPr>
            <w:tcW w:w="2880" w:type="dxa"/>
          </w:tcPr>
          <w:p w14:paraId="4E559B3F" w14:textId="77777777" w:rsidR="00CB104F" w:rsidRPr="00BC7633" w:rsidRDefault="00CB104F" w:rsidP="00657942">
            <w:pPr>
              <w:pStyle w:val="MPLParapgrah"/>
            </w:pPr>
          </w:p>
          <w:p w14:paraId="4531A783" w14:textId="77777777" w:rsidR="00CB104F" w:rsidRPr="00BC7633" w:rsidRDefault="00CB104F" w:rsidP="00657942">
            <w:pPr>
              <w:pStyle w:val="MPLParapgrah"/>
            </w:pPr>
            <w:r w:rsidRPr="00BC7633">
              <w:t>University Council</w:t>
            </w:r>
            <w:r>
              <w:t xml:space="preserve"> or President of Academic Board as authorised delegate</w:t>
            </w:r>
          </w:p>
        </w:tc>
        <w:tc>
          <w:tcPr>
            <w:tcW w:w="2880" w:type="dxa"/>
          </w:tcPr>
          <w:p w14:paraId="1CF42E73" w14:textId="77777777" w:rsidR="00CB104F" w:rsidRPr="00BC7633" w:rsidRDefault="00CB104F" w:rsidP="00657942">
            <w:pPr>
              <w:pStyle w:val="MPLParapgrah"/>
            </w:pPr>
          </w:p>
          <w:p w14:paraId="5EA6ADCB" w14:textId="77777777" w:rsidR="00CB104F" w:rsidRPr="00BC7633" w:rsidRDefault="00CB104F" w:rsidP="00657942">
            <w:pPr>
              <w:pStyle w:val="MPLParapgrah"/>
            </w:pPr>
            <w:r>
              <w:t>For President of Academic Board as authorised delegate: Limited to out of round conferrals outside of the approved rolling conferral dates</w:t>
            </w:r>
          </w:p>
        </w:tc>
      </w:tr>
      <w:tr w:rsidR="00CB104F" w:rsidRPr="00BC7633" w14:paraId="3C41BF20" w14:textId="77777777" w:rsidTr="00EC1C6F">
        <w:tc>
          <w:tcPr>
            <w:tcW w:w="2880" w:type="dxa"/>
          </w:tcPr>
          <w:p w14:paraId="5A877171" w14:textId="77777777" w:rsidR="00CB104F" w:rsidRPr="00BC7633" w:rsidRDefault="00CB104F" w:rsidP="00657942">
            <w:pPr>
              <w:pStyle w:val="MPLParapgrah"/>
            </w:pPr>
          </w:p>
          <w:p w14:paraId="1917F4FD" w14:textId="1950F5A7" w:rsidR="00CB104F" w:rsidRPr="00BC7633" w:rsidRDefault="00CB104F" w:rsidP="00657942">
            <w:pPr>
              <w:pStyle w:val="MPLParapgrah"/>
            </w:pPr>
            <w:r w:rsidRPr="00BC7633">
              <w:t>Approve the specified form of words included in the</w:t>
            </w:r>
            <w:r w:rsidR="00D4730B">
              <w:t xml:space="preserve"> </w:t>
            </w:r>
            <w:r w:rsidRPr="00BC7633">
              <w:t>order of proceedings</w:t>
            </w:r>
          </w:p>
        </w:tc>
        <w:tc>
          <w:tcPr>
            <w:tcW w:w="2880" w:type="dxa"/>
          </w:tcPr>
          <w:p w14:paraId="471E47D4" w14:textId="77777777" w:rsidR="00CB104F" w:rsidRPr="00BC7633" w:rsidRDefault="00CB104F" w:rsidP="00657942">
            <w:pPr>
              <w:pStyle w:val="MPLParapgrah"/>
            </w:pPr>
          </w:p>
          <w:p w14:paraId="6FB67983" w14:textId="77777777" w:rsidR="00CB104F" w:rsidRPr="00BC7633" w:rsidRDefault="00CB104F" w:rsidP="00657942">
            <w:pPr>
              <w:pStyle w:val="MPLParapgrah"/>
            </w:pPr>
            <w:r w:rsidRPr="00BC7633">
              <w:t>University Council</w:t>
            </w:r>
          </w:p>
        </w:tc>
        <w:tc>
          <w:tcPr>
            <w:tcW w:w="2880" w:type="dxa"/>
          </w:tcPr>
          <w:p w14:paraId="46608D34" w14:textId="77777777" w:rsidR="00CB104F" w:rsidRPr="00BC7633" w:rsidRDefault="00CB104F" w:rsidP="00657942">
            <w:pPr>
              <w:pStyle w:val="MPLParapgrah"/>
            </w:pPr>
          </w:p>
          <w:p w14:paraId="0115CC0D" w14:textId="77777777" w:rsidR="00CB104F" w:rsidRPr="00BC7633" w:rsidRDefault="00CB104F" w:rsidP="00657942">
            <w:pPr>
              <w:pStyle w:val="MPLParapgrah"/>
            </w:pPr>
          </w:p>
        </w:tc>
      </w:tr>
      <w:tr w:rsidR="00CB104F" w:rsidRPr="00BC7633" w14:paraId="1D240953" w14:textId="77777777" w:rsidTr="00EC1C6F">
        <w:tc>
          <w:tcPr>
            <w:tcW w:w="2880" w:type="dxa"/>
          </w:tcPr>
          <w:p w14:paraId="414E1581" w14:textId="77777777" w:rsidR="00CB104F" w:rsidRPr="00BC7633" w:rsidRDefault="00CB104F" w:rsidP="00657942">
            <w:pPr>
              <w:pStyle w:val="MPLParapgrah"/>
            </w:pPr>
          </w:p>
          <w:p w14:paraId="6B9BC3DC" w14:textId="77777777" w:rsidR="00CB104F" w:rsidRPr="00BC7633" w:rsidRDefault="00CB104F" w:rsidP="00657942">
            <w:pPr>
              <w:pStyle w:val="MPLParapgrah"/>
            </w:pPr>
            <w:r w:rsidRPr="00BC7633">
              <w:t>Conferral of award</w:t>
            </w:r>
          </w:p>
        </w:tc>
        <w:tc>
          <w:tcPr>
            <w:tcW w:w="2880" w:type="dxa"/>
          </w:tcPr>
          <w:p w14:paraId="51B5D27F" w14:textId="77777777" w:rsidR="00CB104F" w:rsidRPr="00BC7633" w:rsidRDefault="00CB104F" w:rsidP="00657942">
            <w:pPr>
              <w:pStyle w:val="MPLParapgrah"/>
            </w:pPr>
          </w:p>
          <w:p w14:paraId="47592A7A" w14:textId="77777777" w:rsidR="00CB104F" w:rsidRPr="00BC7633" w:rsidRDefault="00CB104F" w:rsidP="00657942">
            <w:pPr>
              <w:pStyle w:val="MPLParapgrah"/>
            </w:pPr>
            <w:r w:rsidRPr="00BC7633">
              <w:t>University Council</w:t>
            </w:r>
            <w:r>
              <w:t xml:space="preserve"> or President of Academic Board as authorised delegate</w:t>
            </w:r>
          </w:p>
        </w:tc>
        <w:tc>
          <w:tcPr>
            <w:tcW w:w="2880" w:type="dxa"/>
          </w:tcPr>
          <w:p w14:paraId="42BF6A14" w14:textId="77777777" w:rsidR="00CB104F" w:rsidRPr="00BC7633" w:rsidRDefault="00CB104F" w:rsidP="00657942">
            <w:pPr>
              <w:pStyle w:val="MPLParapgrah"/>
            </w:pPr>
          </w:p>
          <w:p w14:paraId="4455605A" w14:textId="77777777" w:rsidR="00CB104F" w:rsidRDefault="00CB104F" w:rsidP="00657942">
            <w:pPr>
              <w:pStyle w:val="MPLParapgrah"/>
            </w:pPr>
            <w:r w:rsidRPr="00BC7633">
              <w:t>Requirements for completion of an award course are fulfilled</w:t>
            </w:r>
          </w:p>
          <w:p w14:paraId="1A5E236E" w14:textId="77777777" w:rsidR="00CB104F" w:rsidRDefault="00CB104F" w:rsidP="00657942">
            <w:pPr>
              <w:pStyle w:val="MPLParapgrah"/>
            </w:pPr>
          </w:p>
          <w:p w14:paraId="2881F86C" w14:textId="77777777" w:rsidR="00CB104F" w:rsidRPr="00BC7633" w:rsidRDefault="00CB104F" w:rsidP="00657942">
            <w:pPr>
              <w:pStyle w:val="MPLParapgrah"/>
            </w:pPr>
            <w:r>
              <w:t>For President of Academic Board as authorised delegate: Limited to out of round conferrals outside of the approved rolling conferral dates</w:t>
            </w:r>
          </w:p>
        </w:tc>
      </w:tr>
      <w:tr w:rsidR="00CB104F" w:rsidRPr="00BC7633" w14:paraId="0632A058" w14:textId="77777777" w:rsidTr="00EC1C6F">
        <w:tc>
          <w:tcPr>
            <w:tcW w:w="2880" w:type="dxa"/>
          </w:tcPr>
          <w:p w14:paraId="0A867093" w14:textId="77777777" w:rsidR="00CB104F" w:rsidRPr="00BC7633" w:rsidRDefault="00CB104F" w:rsidP="00657942">
            <w:pPr>
              <w:pStyle w:val="MPLParapgrah"/>
            </w:pPr>
          </w:p>
          <w:p w14:paraId="62996C73" w14:textId="77777777" w:rsidR="00CB104F" w:rsidRPr="00BC7633" w:rsidRDefault="00CB104F" w:rsidP="00657942">
            <w:pPr>
              <w:pStyle w:val="MPLParapgrah"/>
            </w:pPr>
            <w:r w:rsidRPr="00BC7633">
              <w:t>Oversee all aspects of a graduation ceremony</w:t>
            </w:r>
          </w:p>
        </w:tc>
        <w:tc>
          <w:tcPr>
            <w:tcW w:w="2880" w:type="dxa"/>
          </w:tcPr>
          <w:p w14:paraId="32E268B2" w14:textId="77777777" w:rsidR="00CB104F" w:rsidRPr="00BC7633" w:rsidRDefault="00CB104F" w:rsidP="00657942">
            <w:pPr>
              <w:pStyle w:val="MPLParapgrah"/>
            </w:pPr>
          </w:p>
          <w:p w14:paraId="32D7443D" w14:textId="77777777" w:rsidR="00CB104F" w:rsidRPr="00BC7633" w:rsidRDefault="00CB104F" w:rsidP="00657942">
            <w:pPr>
              <w:pStyle w:val="MPLParapgrah"/>
            </w:pPr>
            <w:r w:rsidRPr="00BC7633">
              <w:t xml:space="preserve">Deputy Vice-Chancellor (Academic) </w:t>
            </w:r>
          </w:p>
        </w:tc>
        <w:tc>
          <w:tcPr>
            <w:tcW w:w="2880" w:type="dxa"/>
          </w:tcPr>
          <w:p w14:paraId="0761AE42" w14:textId="77777777" w:rsidR="00CB104F" w:rsidRPr="00BC7633" w:rsidRDefault="00CB104F" w:rsidP="00657942">
            <w:pPr>
              <w:pStyle w:val="MPLParapgrah"/>
            </w:pPr>
          </w:p>
          <w:p w14:paraId="4966C223" w14:textId="77777777" w:rsidR="00CB104F" w:rsidRPr="00BC7633" w:rsidRDefault="00CB104F" w:rsidP="00657942">
            <w:pPr>
              <w:pStyle w:val="MPLParapgrah"/>
            </w:pPr>
          </w:p>
        </w:tc>
      </w:tr>
      <w:tr w:rsidR="00CB104F" w:rsidRPr="00BC7633" w14:paraId="6F944EFA" w14:textId="77777777" w:rsidTr="00EC1C6F">
        <w:tc>
          <w:tcPr>
            <w:tcW w:w="2880" w:type="dxa"/>
          </w:tcPr>
          <w:p w14:paraId="5F3E0B76" w14:textId="77777777" w:rsidR="00CB104F" w:rsidRPr="00BC7633" w:rsidRDefault="00CB104F" w:rsidP="00657942">
            <w:pPr>
              <w:pStyle w:val="MPLParapgrah"/>
            </w:pPr>
          </w:p>
          <w:p w14:paraId="6A4A903F" w14:textId="77777777" w:rsidR="00CB104F" w:rsidRPr="00BC7633" w:rsidRDefault="00CB104F" w:rsidP="00657942">
            <w:pPr>
              <w:pStyle w:val="MPLParapgrah"/>
            </w:pPr>
            <w:r w:rsidRPr="00BC7633">
              <w:t>Manage and coordinate all aspects of graduation ceremonies authorised by Council</w:t>
            </w:r>
          </w:p>
        </w:tc>
        <w:tc>
          <w:tcPr>
            <w:tcW w:w="2880" w:type="dxa"/>
          </w:tcPr>
          <w:p w14:paraId="498CADAF" w14:textId="77777777" w:rsidR="00CB104F" w:rsidRPr="00BC7633" w:rsidRDefault="00CB104F" w:rsidP="00657942">
            <w:pPr>
              <w:pStyle w:val="MPLParapgrah"/>
            </w:pPr>
          </w:p>
          <w:p w14:paraId="34EFE286" w14:textId="77777777" w:rsidR="00CB104F" w:rsidRPr="00BC7633" w:rsidRDefault="00CB104F" w:rsidP="00657942">
            <w:pPr>
              <w:pStyle w:val="MPLParapgrah"/>
            </w:pPr>
            <w:r w:rsidRPr="00BC7633">
              <w:t>Academic Registrar</w:t>
            </w:r>
          </w:p>
        </w:tc>
        <w:tc>
          <w:tcPr>
            <w:tcW w:w="2880" w:type="dxa"/>
          </w:tcPr>
          <w:p w14:paraId="71D2013F" w14:textId="77777777" w:rsidR="00CB104F" w:rsidRPr="00BC7633" w:rsidRDefault="00CB104F" w:rsidP="00657942">
            <w:pPr>
              <w:pStyle w:val="MPLParapgrah"/>
            </w:pPr>
          </w:p>
          <w:p w14:paraId="2086D489" w14:textId="77777777" w:rsidR="00CB104F" w:rsidRPr="00BC7633" w:rsidRDefault="00CB104F" w:rsidP="00657942">
            <w:pPr>
              <w:pStyle w:val="MPLParapgrah"/>
            </w:pPr>
          </w:p>
        </w:tc>
      </w:tr>
      <w:tr w:rsidR="00CB104F" w:rsidRPr="00BC7633" w14:paraId="3D1EF59F" w14:textId="77777777" w:rsidTr="00EC1C6F">
        <w:tc>
          <w:tcPr>
            <w:tcW w:w="2880" w:type="dxa"/>
          </w:tcPr>
          <w:p w14:paraId="27A6CA67" w14:textId="77777777" w:rsidR="00CB104F" w:rsidRPr="00BC7633" w:rsidRDefault="00CB104F" w:rsidP="00657942">
            <w:pPr>
              <w:pStyle w:val="MPLParapgrah"/>
            </w:pPr>
          </w:p>
        </w:tc>
        <w:tc>
          <w:tcPr>
            <w:tcW w:w="2880" w:type="dxa"/>
          </w:tcPr>
          <w:p w14:paraId="44AF9561" w14:textId="77777777" w:rsidR="00CB104F" w:rsidRPr="00BC7633" w:rsidRDefault="00CB104F" w:rsidP="00657942">
            <w:pPr>
              <w:pStyle w:val="MPLParapgrah"/>
            </w:pPr>
          </w:p>
        </w:tc>
        <w:tc>
          <w:tcPr>
            <w:tcW w:w="2880" w:type="dxa"/>
          </w:tcPr>
          <w:p w14:paraId="1F027A6A" w14:textId="77777777" w:rsidR="00CB104F" w:rsidRPr="00BC7633" w:rsidRDefault="00CB104F" w:rsidP="00657942">
            <w:pPr>
              <w:pStyle w:val="MPLParapgrah"/>
            </w:pPr>
          </w:p>
        </w:tc>
      </w:tr>
      <w:tr w:rsidR="00CB104F" w:rsidRPr="00BC7633" w14:paraId="1E34E916" w14:textId="77777777" w:rsidTr="00EC1C6F">
        <w:trPr>
          <w:trHeight w:val="529"/>
        </w:trPr>
        <w:tc>
          <w:tcPr>
            <w:tcW w:w="2880" w:type="dxa"/>
          </w:tcPr>
          <w:p w14:paraId="67C1A8AE" w14:textId="77777777" w:rsidR="00CB104F" w:rsidRPr="00BC7633" w:rsidRDefault="00CB104F" w:rsidP="00657942">
            <w:pPr>
              <w:pStyle w:val="MPLParapgrah"/>
            </w:pPr>
          </w:p>
          <w:p w14:paraId="0B7105D6" w14:textId="77777777" w:rsidR="00CB104F" w:rsidRPr="00BC7633" w:rsidRDefault="00CB104F" w:rsidP="00657942">
            <w:pPr>
              <w:pStyle w:val="MPLParapgrah"/>
            </w:pPr>
            <w:r w:rsidRPr="00BC7633">
              <w:t xml:space="preserve">Provision of </w:t>
            </w:r>
            <w:proofErr w:type="spellStart"/>
            <w:r>
              <w:t>Testamur</w:t>
            </w:r>
            <w:proofErr w:type="spellEnd"/>
          </w:p>
        </w:tc>
        <w:tc>
          <w:tcPr>
            <w:tcW w:w="2880" w:type="dxa"/>
          </w:tcPr>
          <w:p w14:paraId="09F9A86E" w14:textId="77777777" w:rsidR="00CB104F" w:rsidRPr="00BC7633" w:rsidRDefault="00CB104F" w:rsidP="00657942">
            <w:pPr>
              <w:pStyle w:val="MPLParapgrah"/>
            </w:pPr>
          </w:p>
          <w:p w14:paraId="49BF3497" w14:textId="77777777" w:rsidR="00CB104F" w:rsidRPr="00BC7633" w:rsidRDefault="00CB104F" w:rsidP="00657942">
            <w:pPr>
              <w:pStyle w:val="MPLParapgrah"/>
            </w:pPr>
            <w:r>
              <w:t>Associate Director, Student Support and Delivery</w:t>
            </w:r>
          </w:p>
        </w:tc>
        <w:tc>
          <w:tcPr>
            <w:tcW w:w="2880" w:type="dxa"/>
          </w:tcPr>
          <w:p w14:paraId="47515A46" w14:textId="77777777" w:rsidR="00CB104F" w:rsidRPr="00BC7633" w:rsidRDefault="00CB104F" w:rsidP="00657942">
            <w:pPr>
              <w:pStyle w:val="MPLParapgrah"/>
            </w:pPr>
          </w:p>
          <w:p w14:paraId="17010BF8" w14:textId="77777777" w:rsidR="00CB104F" w:rsidRPr="00BC7633" w:rsidRDefault="00CB104F" w:rsidP="00657942">
            <w:pPr>
              <w:pStyle w:val="MPLParapgrah"/>
            </w:pPr>
          </w:p>
        </w:tc>
      </w:tr>
      <w:tr w:rsidR="00CB104F" w:rsidRPr="00BC7633" w14:paraId="6C679E97" w14:textId="77777777" w:rsidTr="00EC1C6F">
        <w:trPr>
          <w:trHeight w:val="529"/>
        </w:trPr>
        <w:tc>
          <w:tcPr>
            <w:tcW w:w="2880" w:type="dxa"/>
          </w:tcPr>
          <w:p w14:paraId="6EDEA91C" w14:textId="77777777" w:rsidR="00CB104F" w:rsidRPr="00BC7633" w:rsidRDefault="00CB104F" w:rsidP="00657942">
            <w:pPr>
              <w:pStyle w:val="MPLParapgrah"/>
            </w:pPr>
            <w:r>
              <w:t>Provision of other Academic Statements</w:t>
            </w:r>
          </w:p>
        </w:tc>
        <w:tc>
          <w:tcPr>
            <w:tcW w:w="2880" w:type="dxa"/>
          </w:tcPr>
          <w:p w14:paraId="6F0A993F" w14:textId="77777777" w:rsidR="00CB104F" w:rsidRPr="00BC7633" w:rsidRDefault="00CB104F" w:rsidP="00657942">
            <w:pPr>
              <w:pStyle w:val="MPLParapgrah"/>
            </w:pPr>
            <w:r>
              <w:t>Associate Director, Student Services</w:t>
            </w:r>
          </w:p>
        </w:tc>
        <w:tc>
          <w:tcPr>
            <w:tcW w:w="2880" w:type="dxa"/>
          </w:tcPr>
          <w:p w14:paraId="04A5EC51" w14:textId="77777777" w:rsidR="00CB104F" w:rsidRPr="00BC7633" w:rsidRDefault="00CB104F" w:rsidP="00657942">
            <w:pPr>
              <w:pStyle w:val="MPLParapgrah"/>
            </w:pPr>
          </w:p>
        </w:tc>
      </w:tr>
    </w:tbl>
    <w:p w14:paraId="5E3BE56A" w14:textId="77777777" w:rsidR="00CB104F" w:rsidRPr="00BC7633" w:rsidRDefault="00CB104F" w:rsidP="00CB104F">
      <w:pPr>
        <w:rPr>
          <w:rFonts w:asciiTheme="majorHAnsi" w:hAnsiTheme="majorHAnsi" w:cstheme="majorHAnsi"/>
        </w:rPr>
      </w:pPr>
    </w:p>
    <w:p w14:paraId="3ADCF657" w14:textId="2E12555B" w:rsidR="00CB104F" w:rsidRPr="00BC7633" w:rsidRDefault="00CB104F" w:rsidP="00657942">
      <w:pPr>
        <w:pStyle w:val="MPLHeading1"/>
      </w:pPr>
      <w:r w:rsidRPr="00BC7633">
        <w:lastRenderedPageBreak/>
        <w:t>Definitions</w:t>
      </w:r>
    </w:p>
    <w:p w14:paraId="49E3317C" w14:textId="77777777" w:rsidR="00CB104F" w:rsidRPr="00BC7633" w:rsidRDefault="00CB104F" w:rsidP="00657942">
      <w:pPr>
        <w:pStyle w:val="MPLParapgrah"/>
      </w:pPr>
      <w:r w:rsidRPr="00BC7633">
        <w:rPr>
          <w:b/>
        </w:rPr>
        <w:t xml:space="preserve">award </w:t>
      </w:r>
      <w:r w:rsidRPr="00BC7633">
        <w:t>means a degree, diploma or certificate approved by the Academic Board which may be conferred or granted by Council.</w:t>
      </w:r>
    </w:p>
    <w:p w14:paraId="2BEE3FA2" w14:textId="77777777" w:rsidR="00CB104F" w:rsidRPr="00BC7633" w:rsidRDefault="00CB104F" w:rsidP="00657942">
      <w:pPr>
        <w:pStyle w:val="MPLParapgrah"/>
      </w:pPr>
      <w:r w:rsidRPr="00BC7633">
        <w:rPr>
          <w:b/>
        </w:rPr>
        <w:t xml:space="preserve">award course </w:t>
      </w:r>
      <w:r w:rsidRPr="00BC7633">
        <w:t>means a program of study formally approved/accredited by the University which leads to an academic award granted by the University.</w:t>
      </w:r>
    </w:p>
    <w:p w14:paraId="6E0BFEAB" w14:textId="77777777" w:rsidR="00CB104F" w:rsidRPr="00BC7633" w:rsidRDefault="00CB104F" w:rsidP="00657942">
      <w:pPr>
        <w:pStyle w:val="MPLParapgrah"/>
      </w:pPr>
      <w:r w:rsidRPr="00BC7633">
        <w:rPr>
          <w:b/>
        </w:rPr>
        <w:t xml:space="preserve">conferral </w:t>
      </w:r>
      <w:r w:rsidRPr="00BC7633">
        <w:t>means the act of granting an award to a student after completion of their course requirements.</w:t>
      </w:r>
    </w:p>
    <w:p w14:paraId="5D35D7A3" w14:textId="77777777" w:rsidR="00CB104F" w:rsidRPr="00BC7633" w:rsidRDefault="00CB104F" w:rsidP="00657942">
      <w:pPr>
        <w:pStyle w:val="MPLParapgrah"/>
      </w:pPr>
      <w:r w:rsidRPr="00BC7633">
        <w:rPr>
          <w:b/>
        </w:rPr>
        <w:t>gradu</w:t>
      </w:r>
      <w:r>
        <w:rPr>
          <w:b/>
        </w:rPr>
        <w:t>ate</w:t>
      </w:r>
      <w:r w:rsidRPr="00BC7633">
        <w:rPr>
          <w:b/>
        </w:rPr>
        <w:t xml:space="preserve"> </w:t>
      </w:r>
      <w:r w:rsidRPr="00BC7633">
        <w:t>means a person who has fulfilled the requirements for completion of an award course and has had their award conferred in accordance with this policy.</w:t>
      </w:r>
    </w:p>
    <w:p w14:paraId="759E693E" w14:textId="77777777" w:rsidR="00CB104F" w:rsidRPr="0035457B" w:rsidRDefault="00CB104F" w:rsidP="00657942">
      <w:pPr>
        <w:pStyle w:val="MPLParapgrah"/>
        <w:rPr>
          <w:b/>
          <w:bCs/>
        </w:rPr>
      </w:pPr>
      <w:proofErr w:type="spellStart"/>
      <w:r w:rsidRPr="00D4730B">
        <w:rPr>
          <w:b/>
          <w:bCs/>
        </w:rPr>
        <w:t>testamur</w:t>
      </w:r>
      <w:proofErr w:type="spellEnd"/>
      <w:r w:rsidRPr="0035457B">
        <w:t xml:space="preserve"> means a document in the form of a certificate which is binding on and certified by the University, provided to the relevant graduating student on successful completion and conferral of an award at the University.</w:t>
      </w:r>
    </w:p>
    <w:p w14:paraId="59387857" w14:textId="77777777" w:rsidR="00CB104F" w:rsidRPr="00BC7633" w:rsidRDefault="00CB104F" w:rsidP="00657942">
      <w:pPr>
        <w:pStyle w:val="MPLNoNumberingHeadings"/>
      </w:pPr>
      <w:r w:rsidRPr="00BC7633">
        <w:t>POLICY APPROVER</w:t>
      </w:r>
    </w:p>
    <w:p w14:paraId="666D9584" w14:textId="77777777" w:rsidR="00CB104F" w:rsidRPr="00BC7633" w:rsidRDefault="00CB104F" w:rsidP="00657942">
      <w:pPr>
        <w:pStyle w:val="MPLParapgrah"/>
      </w:pPr>
      <w:r w:rsidRPr="00BC7633">
        <w:t>Council</w:t>
      </w:r>
    </w:p>
    <w:p w14:paraId="150DE915" w14:textId="77777777" w:rsidR="00CB104F" w:rsidRPr="00BC7633" w:rsidRDefault="00CB104F" w:rsidP="00657942">
      <w:pPr>
        <w:pStyle w:val="MPLNoNumberingHeadings"/>
      </w:pPr>
      <w:r w:rsidRPr="00BC7633">
        <w:t>POLICY STEWARD</w:t>
      </w:r>
    </w:p>
    <w:p w14:paraId="51B39555" w14:textId="77777777" w:rsidR="00CB104F" w:rsidRPr="00BC7633" w:rsidRDefault="00CB104F" w:rsidP="00657942">
      <w:pPr>
        <w:pStyle w:val="MPLParapgrah"/>
      </w:pPr>
      <w:r w:rsidRPr="00BC7633">
        <w:t>Executive Director, Student &amp; Scholarly Services and Academic Registrar</w:t>
      </w:r>
    </w:p>
    <w:p w14:paraId="7174BB63" w14:textId="77777777" w:rsidR="00CB104F" w:rsidRPr="00BC7633" w:rsidRDefault="00CB104F" w:rsidP="00657942">
      <w:pPr>
        <w:pStyle w:val="MPLNoNumberingHeadings"/>
      </w:pPr>
      <w:r w:rsidRPr="00BC7633">
        <w:t>REVIEW</w:t>
      </w:r>
    </w:p>
    <w:p w14:paraId="2645B92E" w14:textId="22D67B9D" w:rsidR="00CB104F" w:rsidRPr="00BC7633" w:rsidRDefault="00CB104F" w:rsidP="00657942">
      <w:pPr>
        <w:pStyle w:val="MPLParapgrah"/>
      </w:pPr>
      <w:r w:rsidRPr="00BC7633">
        <w:t xml:space="preserve">This policy is to be reviewed by </w:t>
      </w:r>
      <w:r w:rsidR="00D4730B">
        <w:t>22 December 2025</w:t>
      </w:r>
      <w:r w:rsidRPr="00BC7633">
        <w:t>.</w:t>
      </w:r>
    </w:p>
    <w:p w14:paraId="5BDDE90F" w14:textId="77777777" w:rsidR="00CB104F" w:rsidRPr="00BC7633" w:rsidRDefault="00CB104F" w:rsidP="00657942">
      <w:pPr>
        <w:pStyle w:val="MPLNoNumberingHeadings"/>
      </w:pPr>
      <w:r w:rsidRPr="00BC7633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B104F" w:rsidRPr="00BC7633" w14:paraId="00DD057D" w14:textId="77777777" w:rsidTr="00EC1C6F">
        <w:tc>
          <w:tcPr>
            <w:tcW w:w="1728" w:type="dxa"/>
          </w:tcPr>
          <w:p w14:paraId="6B42CBFF" w14:textId="77777777" w:rsidR="00CB104F" w:rsidRPr="00BC7633" w:rsidRDefault="00CB104F" w:rsidP="00EC1C6F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BC7633">
              <w:rPr>
                <w:rFonts w:asciiTheme="majorHAnsi" w:hAnsiTheme="majorHAnsi" w:cstheme="majorHAnsi"/>
                <w:b/>
                <w:sz w:val="22"/>
                <w:szCs w:val="24"/>
              </w:rPr>
              <w:t>Version</w:t>
            </w:r>
          </w:p>
        </w:tc>
        <w:tc>
          <w:tcPr>
            <w:tcW w:w="1728" w:type="dxa"/>
          </w:tcPr>
          <w:p w14:paraId="7C98F6E2" w14:textId="77777777" w:rsidR="00CB104F" w:rsidRPr="00BC7633" w:rsidRDefault="00CB104F" w:rsidP="00EC1C6F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BC7633">
              <w:rPr>
                <w:rFonts w:asciiTheme="majorHAnsi" w:hAnsiTheme="majorHAnsi" w:cstheme="majorHAnsi"/>
                <w:b/>
                <w:sz w:val="22"/>
                <w:szCs w:val="24"/>
              </w:rPr>
              <w:t>Approved By</w:t>
            </w:r>
          </w:p>
        </w:tc>
        <w:tc>
          <w:tcPr>
            <w:tcW w:w="1728" w:type="dxa"/>
          </w:tcPr>
          <w:p w14:paraId="1344490B" w14:textId="77777777" w:rsidR="00CB104F" w:rsidRPr="00BC7633" w:rsidRDefault="00CB104F" w:rsidP="00EC1C6F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BC7633">
              <w:rPr>
                <w:rFonts w:asciiTheme="majorHAnsi" w:hAnsiTheme="majorHAnsi" w:cstheme="majorHAnsi"/>
                <w:b/>
                <w:sz w:val="22"/>
                <w:szCs w:val="24"/>
              </w:rPr>
              <w:t>Approval Date</w:t>
            </w:r>
          </w:p>
        </w:tc>
        <w:tc>
          <w:tcPr>
            <w:tcW w:w="1728" w:type="dxa"/>
          </w:tcPr>
          <w:p w14:paraId="3DB2F819" w14:textId="77777777" w:rsidR="00CB104F" w:rsidRPr="00BC7633" w:rsidRDefault="00CB104F" w:rsidP="00EC1C6F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BC7633">
              <w:rPr>
                <w:rFonts w:asciiTheme="majorHAnsi" w:hAnsiTheme="majorHAnsi" w:cstheme="majorHAnsi"/>
                <w:b/>
                <w:sz w:val="22"/>
                <w:szCs w:val="24"/>
              </w:rPr>
              <w:t>Effective Date</w:t>
            </w:r>
          </w:p>
        </w:tc>
        <w:tc>
          <w:tcPr>
            <w:tcW w:w="1728" w:type="dxa"/>
          </w:tcPr>
          <w:p w14:paraId="15E4AD67" w14:textId="77777777" w:rsidR="00CB104F" w:rsidRPr="00BC7633" w:rsidRDefault="00CB104F" w:rsidP="00EC1C6F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BC7633">
              <w:rPr>
                <w:rFonts w:asciiTheme="majorHAnsi" w:hAnsiTheme="majorHAnsi" w:cstheme="majorHAnsi"/>
                <w:b/>
                <w:sz w:val="22"/>
                <w:szCs w:val="24"/>
              </w:rPr>
              <w:t>Sections Modified</w:t>
            </w:r>
          </w:p>
        </w:tc>
      </w:tr>
      <w:tr w:rsidR="00CB104F" w:rsidRPr="00BC7633" w14:paraId="2B06B47B" w14:textId="77777777" w:rsidTr="00EC1C6F">
        <w:tc>
          <w:tcPr>
            <w:tcW w:w="1728" w:type="dxa"/>
          </w:tcPr>
          <w:p w14:paraId="3A28414F" w14:textId="77777777" w:rsidR="00CB104F" w:rsidRPr="00BC7633" w:rsidRDefault="00CB104F" w:rsidP="00657942">
            <w:pPr>
              <w:pStyle w:val="MPLParapgrah"/>
            </w:pPr>
            <w:r w:rsidRPr="00BC7633">
              <w:t>1</w:t>
            </w:r>
          </w:p>
        </w:tc>
        <w:tc>
          <w:tcPr>
            <w:tcW w:w="1728" w:type="dxa"/>
          </w:tcPr>
          <w:p w14:paraId="355E56AE" w14:textId="77777777" w:rsidR="00CB104F" w:rsidRPr="00BC7633" w:rsidRDefault="00CB104F" w:rsidP="00657942">
            <w:pPr>
              <w:pStyle w:val="MPLParapgrah"/>
            </w:pPr>
            <w:r w:rsidRPr="00BC7633">
              <w:t>Provost</w:t>
            </w:r>
          </w:p>
        </w:tc>
        <w:tc>
          <w:tcPr>
            <w:tcW w:w="1728" w:type="dxa"/>
          </w:tcPr>
          <w:p w14:paraId="7F30347D" w14:textId="77777777" w:rsidR="00CB104F" w:rsidRPr="00BC7633" w:rsidRDefault="00CB104F" w:rsidP="00657942">
            <w:pPr>
              <w:pStyle w:val="MPLParapgrah"/>
            </w:pPr>
            <w:r w:rsidRPr="00BC7633">
              <w:t>26 February 2012</w:t>
            </w:r>
          </w:p>
        </w:tc>
        <w:tc>
          <w:tcPr>
            <w:tcW w:w="1728" w:type="dxa"/>
          </w:tcPr>
          <w:p w14:paraId="775A9319" w14:textId="77777777" w:rsidR="00CB104F" w:rsidRPr="00BC7633" w:rsidRDefault="00CB104F" w:rsidP="00657942">
            <w:pPr>
              <w:pStyle w:val="MPLParapgrah"/>
            </w:pPr>
            <w:r w:rsidRPr="00BC7633">
              <w:t>21 August 2012</w:t>
            </w:r>
          </w:p>
        </w:tc>
        <w:tc>
          <w:tcPr>
            <w:tcW w:w="1728" w:type="dxa"/>
          </w:tcPr>
          <w:p w14:paraId="68CA114D" w14:textId="77777777" w:rsidR="00CB104F" w:rsidRPr="00BC7633" w:rsidRDefault="00CB104F" w:rsidP="00657942">
            <w:pPr>
              <w:pStyle w:val="MPLParapgrah"/>
            </w:pPr>
            <w:r w:rsidRPr="00BC7633">
              <w:t>New version arising from the Policy Simplification Project. Loaded into MPL as Version 1.</w:t>
            </w:r>
          </w:p>
        </w:tc>
      </w:tr>
      <w:tr w:rsidR="00CB104F" w:rsidRPr="00BC7633" w14:paraId="314FC5DE" w14:textId="77777777" w:rsidTr="00EC1C6F">
        <w:tc>
          <w:tcPr>
            <w:tcW w:w="1728" w:type="dxa"/>
          </w:tcPr>
          <w:p w14:paraId="3B468FAD" w14:textId="77777777" w:rsidR="00CB104F" w:rsidRPr="00BC7633" w:rsidRDefault="00CB104F" w:rsidP="00657942">
            <w:pPr>
              <w:pStyle w:val="MPLParapgrah"/>
            </w:pPr>
            <w:r w:rsidRPr="00BC7633">
              <w:t>2</w:t>
            </w:r>
          </w:p>
        </w:tc>
        <w:tc>
          <w:tcPr>
            <w:tcW w:w="1728" w:type="dxa"/>
          </w:tcPr>
          <w:p w14:paraId="1D02B425" w14:textId="77777777" w:rsidR="00CB104F" w:rsidRPr="00BC7633" w:rsidRDefault="00CB104F" w:rsidP="00657942">
            <w:pPr>
              <w:pStyle w:val="MPLParapgrah"/>
            </w:pPr>
            <w:r w:rsidRPr="00BC7633">
              <w:t>Provost</w:t>
            </w:r>
          </w:p>
        </w:tc>
        <w:tc>
          <w:tcPr>
            <w:tcW w:w="1728" w:type="dxa"/>
          </w:tcPr>
          <w:p w14:paraId="0BC5B02F" w14:textId="77777777" w:rsidR="00CB104F" w:rsidRPr="00BC7633" w:rsidRDefault="00CB104F" w:rsidP="00657942">
            <w:pPr>
              <w:pStyle w:val="MPLParapgrah"/>
            </w:pPr>
            <w:r w:rsidRPr="00BC7633">
              <w:t>5 December 2013</w:t>
            </w:r>
          </w:p>
        </w:tc>
        <w:tc>
          <w:tcPr>
            <w:tcW w:w="1728" w:type="dxa"/>
          </w:tcPr>
          <w:p w14:paraId="3A04AC27" w14:textId="77777777" w:rsidR="00CB104F" w:rsidRPr="00BC7633" w:rsidRDefault="00CB104F" w:rsidP="00657942">
            <w:pPr>
              <w:pStyle w:val="MPLParapgrah"/>
            </w:pPr>
            <w:r w:rsidRPr="00BC7633">
              <w:t>5 December 2013</w:t>
            </w:r>
          </w:p>
        </w:tc>
        <w:tc>
          <w:tcPr>
            <w:tcW w:w="1728" w:type="dxa"/>
          </w:tcPr>
          <w:p w14:paraId="604D2D08" w14:textId="77777777" w:rsidR="00CB104F" w:rsidRPr="00BC7633" w:rsidRDefault="00CB104F" w:rsidP="00657942">
            <w:pPr>
              <w:pStyle w:val="MPLParapgrah"/>
            </w:pPr>
          </w:p>
          <w:p w14:paraId="0BC57615" w14:textId="2C0B780A" w:rsidR="00CB104F" w:rsidRPr="00BC7633" w:rsidRDefault="00CB104F" w:rsidP="00657942">
            <w:pPr>
              <w:pStyle w:val="MPLParapgrah"/>
            </w:pPr>
            <w:r w:rsidRPr="00BC7633">
              <w:t>Full review as part of formal review cycle. Update terminology.</w:t>
            </w:r>
            <w:r w:rsidRPr="00BC7633">
              <w:br/>
              <w:t>Amendment to conferral rules – students who fail to respond are automatically conferred</w:t>
            </w:r>
            <w:r w:rsidR="006670A5">
              <w:t xml:space="preserve"> </w:t>
            </w:r>
            <w:r w:rsidRPr="00BC7633">
              <w:rPr>
                <w:i/>
              </w:rPr>
              <w:t>in absentia</w:t>
            </w:r>
            <w:r w:rsidRPr="00BC7633">
              <w:t>.</w:t>
            </w:r>
          </w:p>
        </w:tc>
      </w:tr>
      <w:tr w:rsidR="00CB104F" w:rsidRPr="00BC7633" w14:paraId="1D60B850" w14:textId="77777777" w:rsidTr="00EC1C6F">
        <w:tc>
          <w:tcPr>
            <w:tcW w:w="1728" w:type="dxa"/>
          </w:tcPr>
          <w:p w14:paraId="5C669F00" w14:textId="77777777" w:rsidR="00CB104F" w:rsidRPr="00BC7633" w:rsidRDefault="00CB104F" w:rsidP="00657942">
            <w:pPr>
              <w:pStyle w:val="MPLParapgrah"/>
            </w:pPr>
            <w:r w:rsidRPr="00BC7633">
              <w:t>3</w:t>
            </w:r>
          </w:p>
        </w:tc>
        <w:tc>
          <w:tcPr>
            <w:tcW w:w="1728" w:type="dxa"/>
          </w:tcPr>
          <w:p w14:paraId="67EEBC88" w14:textId="77777777" w:rsidR="00CB104F" w:rsidRPr="00BC7633" w:rsidRDefault="00CB104F" w:rsidP="00657942">
            <w:pPr>
              <w:pStyle w:val="MPLParapgrah"/>
            </w:pPr>
            <w:r w:rsidRPr="00BC7633">
              <w:t>Council</w:t>
            </w:r>
          </w:p>
        </w:tc>
        <w:tc>
          <w:tcPr>
            <w:tcW w:w="1728" w:type="dxa"/>
          </w:tcPr>
          <w:p w14:paraId="4CC39F12" w14:textId="77777777" w:rsidR="00CB104F" w:rsidRPr="00BC7633" w:rsidRDefault="00CB104F" w:rsidP="00657942">
            <w:pPr>
              <w:pStyle w:val="MPLParapgrah"/>
            </w:pPr>
            <w:r w:rsidRPr="00BC7633">
              <w:t>16 March 2016</w:t>
            </w:r>
          </w:p>
        </w:tc>
        <w:tc>
          <w:tcPr>
            <w:tcW w:w="1728" w:type="dxa"/>
          </w:tcPr>
          <w:p w14:paraId="07BA6470" w14:textId="77777777" w:rsidR="00CB104F" w:rsidRPr="00BC7633" w:rsidRDefault="00CB104F" w:rsidP="00657942">
            <w:pPr>
              <w:pStyle w:val="MPLParapgrah"/>
            </w:pPr>
            <w:r w:rsidRPr="00BC7633">
              <w:t>21 July 2016</w:t>
            </w:r>
          </w:p>
        </w:tc>
        <w:tc>
          <w:tcPr>
            <w:tcW w:w="1728" w:type="dxa"/>
          </w:tcPr>
          <w:p w14:paraId="14ABC993" w14:textId="77777777" w:rsidR="00CB104F" w:rsidRPr="00BC7633" w:rsidRDefault="00CB104F" w:rsidP="00657942">
            <w:pPr>
              <w:pStyle w:val="MPLParapgrah"/>
            </w:pPr>
            <w:r w:rsidRPr="00BC7633">
              <w:t xml:space="preserve">New version arising from the Policy </w:t>
            </w:r>
            <w:r w:rsidRPr="00BC7633">
              <w:lastRenderedPageBreak/>
              <w:t>Consolidation Project.</w:t>
            </w:r>
          </w:p>
        </w:tc>
      </w:tr>
      <w:tr w:rsidR="00CB104F" w:rsidRPr="00BC7633" w14:paraId="12E1C5B2" w14:textId="77777777" w:rsidTr="00EC1C6F">
        <w:tc>
          <w:tcPr>
            <w:tcW w:w="1728" w:type="dxa"/>
          </w:tcPr>
          <w:p w14:paraId="228B9979" w14:textId="77777777" w:rsidR="00CB104F" w:rsidRPr="00BC7633" w:rsidRDefault="00CB104F" w:rsidP="00657942">
            <w:pPr>
              <w:pStyle w:val="MPLParapgrah"/>
            </w:pPr>
            <w:r w:rsidRPr="00BC7633">
              <w:lastRenderedPageBreak/>
              <w:t>4</w:t>
            </w:r>
          </w:p>
        </w:tc>
        <w:tc>
          <w:tcPr>
            <w:tcW w:w="1728" w:type="dxa"/>
          </w:tcPr>
          <w:p w14:paraId="608B8A93" w14:textId="77777777" w:rsidR="00CB104F" w:rsidRPr="00BC7633" w:rsidRDefault="00CB104F" w:rsidP="00657942">
            <w:pPr>
              <w:pStyle w:val="MPLParapgrah"/>
            </w:pPr>
            <w:r w:rsidRPr="00BC7633">
              <w:t>Policy Steward</w:t>
            </w:r>
          </w:p>
        </w:tc>
        <w:tc>
          <w:tcPr>
            <w:tcW w:w="1728" w:type="dxa"/>
          </w:tcPr>
          <w:p w14:paraId="64501E83" w14:textId="77777777" w:rsidR="00CB104F" w:rsidRPr="00BC7633" w:rsidRDefault="00CB104F" w:rsidP="00657942">
            <w:pPr>
              <w:pStyle w:val="MPLParapgrah"/>
            </w:pPr>
            <w:r w:rsidRPr="00BC7633">
              <w:t>10 October 2018</w:t>
            </w:r>
          </w:p>
        </w:tc>
        <w:tc>
          <w:tcPr>
            <w:tcW w:w="1728" w:type="dxa"/>
          </w:tcPr>
          <w:p w14:paraId="70AF841E" w14:textId="77777777" w:rsidR="00CB104F" w:rsidRPr="00BC7633" w:rsidRDefault="00CB104F" w:rsidP="00657942">
            <w:pPr>
              <w:pStyle w:val="MPLParapgrah"/>
            </w:pPr>
            <w:r w:rsidRPr="00BC7633">
              <w:t>12 October 2018</w:t>
            </w:r>
          </w:p>
        </w:tc>
        <w:tc>
          <w:tcPr>
            <w:tcW w:w="1728" w:type="dxa"/>
          </w:tcPr>
          <w:p w14:paraId="186C6EC2" w14:textId="77777777" w:rsidR="00CB104F" w:rsidRPr="00BC7633" w:rsidRDefault="00CB104F" w:rsidP="00657942">
            <w:pPr>
              <w:pStyle w:val="MPLParapgrah"/>
            </w:pPr>
            <w:r w:rsidRPr="00BC7633">
              <w:t>Updated link at 5.2 - order of proceedings</w:t>
            </w:r>
          </w:p>
        </w:tc>
      </w:tr>
      <w:tr w:rsidR="00CB104F" w:rsidRPr="00BC7633" w14:paraId="420B8BCB" w14:textId="77777777" w:rsidTr="00EC1C6F">
        <w:tc>
          <w:tcPr>
            <w:tcW w:w="1728" w:type="dxa"/>
          </w:tcPr>
          <w:p w14:paraId="7A6A007F" w14:textId="77777777" w:rsidR="00CB104F" w:rsidRPr="00BC7633" w:rsidRDefault="00CB104F" w:rsidP="00657942">
            <w:pPr>
              <w:pStyle w:val="MPLParapgrah"/>
            </w:pPr>
            <w:r w:rsidRPr="00BC7633">
              <w:t>5</w:t>
            </w:r>
          </w:p>
        </w:tc>
        <w:tc>
          <w:tcPr>
            <w:tcW w:w="1728" w:type="dxa"/>
          </w:tcPr>
          <w:p w14:paraId="4FA2093D" w14:textId="77777777" w:rsidR="00CB104F" w:rsidRPr="00BC7633" w:rsidRDefault="00CB104F" w:rsidP="00657942">
            <w:pPr>
              <w:pStyle w:val="MPLParapgrah"/>
            </w:pPr>
            <w:r w:rsidRPr="00BC7633">
              <w:t>University Secretary</w:t>
            </w:r>
          </w:p>
        </w:tc>
        <w:tc>
          <w:tcPr>
            <w:tcW w:w="1728" w:type="dxa"/>
          </w:tcPr>
          <w:p w14:paraId="164941CE" w14:textId="77777777" w:rsidR="00CB104F" w:rsidRPr="00BC7633" w:rsidRDefault="00CB104F" w:rsidP="00657942">
            <w:pPr>
              <w:pStyle w:val="MPLParapgrah"/>
            </w:pPr>
            <w:r w:rsidRPr="00BC7633">
              <w:t>24 May 2019</w:t>
            </w:r>
          </w:p>
        </w:tc>
        <w:tc>
          <w:tcPr>
            <w:tcW w:w="1728" w:type="dxa"/>
          </w:tcPr>
          <w:p w14:paraId="136E2ABE" w14:textId="77777777" w:rsidR="00CB104F" w:rsidRPr="00BC7633" w:rsidRDefault="00CB104F" w:rsidP="00657942">
            <w:pPr>
              <w:pStyle w:val="MPLParapgrah"/>
            </w:pPr>
            <w:r w:rsidRPr="00BC7633">
              <w:t>31 May 2019</w:t>
            </w:r>
          </w:p>
        </w:tc>
        <w:tc>
          <w:tcPr>
            <w:tcW w:w="1728" w:type="dxa"/>
          </w:tcPr>
          <w:p w14:paraId="046A89A1" w14:textId="77777777" w:rsidR="00CB104F" w:rsidRPr="00BC7633" w:rsidRDefault="00CB104F" w:rsidP="00657942">
            <w:pPr>
              <w:pStyle w:val="MPLParapgrah"/>
            </w:pPr>
          </w:p>
          <w:p w14:paraId="062E875C" w14:textId="77777777" w:rsidR="00CB104F" w:rsidRPr="00BC7633" w:rsidRDefault="00CB104F" w:rsidP="00657942">
            <w:pPr>
              <w:pStyle w:val="MPLParapgrah"/>
            </w:pPr>
            <w:r w:rsidRPr="00BC7633">
              <w:t>Amended Policy Steward title.</w:t>
            </w:r>
            <w:r w:rsidRPr="00BC7633">
              <w:br/>
              <w:t>Editorial amendments to correct minor errors or align with the University’s policy style guide.</w:t>
            </w:r>
          </w:p>
        </w:tc>
      </w:tr>
      <w:tr w:rsidR="00CB104F" w:rsidRPr="00BC7633" w14:paraId="5C016D59" w14:textId="77777777" w:rsidTr="00EC1C6F">
        <w:tc>
          <w:tcPr>
            <w:tcW w:w="1728" w:type="dxa"/>
          </w:tcPr>
          <w:p w14:paraId="4FFECD80" w14:textId="77777777" w:rsidR="00CB104F" w:rsidRPr="00BC7633" w:rsidRDefault="00CB104F" w:rsidP="00657942">
            <w:pPr>
              <w:pStyle w:val="MPLParapgrah"/>
            </w:pPr>
            <w:r w:rsidRPr="00BC7633">
              <w:t>6</w:t>
            </w:r>
          </w:p>
        </w:tc>
        <w:tc>
          <w:tcPr>
            <w:tcW w:w="1728" w:type="dxa"/>
          </w:tcPr>
          <w:p w14:paraId="7D1E90C5" w14:textId="77777777" w:rsidR="00CB104F" w:rsidRPr="00BC7633" w:rsidRDefault="00CB104F" w:rsidP="00657942">
            <w:pPr>
              <w:pStyle w:val="MPLParapgrah"/>
            </w:pPr>
            <w:r w:rsidRPr="00BC7633">
              <w:t>Council</w:t>
            </w:r>
          </w:p>
        </w:tc>
        <w:tc>
          <w:tcPr>
            <w:tcW w:w="1728" w:type="dxa"/>
          </w:tcPr>
          <w:p w14:paraId="18A4DDA4" w14:textId="77777777" w:rsidR="00CB104F" w:rsidRPr="00BC7633" w:rsidRDefault="00CB104F" w:rsidP="00657942">
            <w:pPr>
              <w:pStyle w:val="MPLParapgrah"/>
            </w:pPr>
            <w:r w:rsidRPr="00BC7633">
              <w:t>19 June 2019</w:t>
            </w:r>
          </w:p>
        </w:tc>
        <w:tc>
          <w:tcPr>
            <w:tcW w:w="1728" w:type="dxa"/>
          </w:tcPr>
          <w:p w14:paraId="07D78AAA" w14:textId="77777777" w:rsidR="00CB104F" w:rsidRPr="00BC7633" w:rsidRDefault="00CB104F" w:rsidP="00657942">
            <w:pPr>
              <w:pStyle w:val="MPLParapgrah"/>
            </w:pPr>
            <w:r w:rsidRPr="00BC7633">
              <w:t>31 July 2019</w:t>
            </w:r>
          </w:p>
        </w:tc>
        <w:tc>
          <w:tcPr>
            <w:tcW w:w="1728" w:type="dxa"/>
          </w:tcPr>
          <w:p w14:paraId="72EF4411" w14:textId="77777777" w:rsidR="00CB104F" w:rsidRPr="00BC7633" w:rsidRDefault="00CB104F" w:rsidP="00657942">
            <w:pPr>
              <w:pStyle w:val="MPLParapgrah"/>
            </w:pPr>
          </w:p>
          <w:p w14:paraId="601335BD" w14:textId="77777777" w:rsidR="00CB104F" w:rsidRPr="00BC7633" w:rsidRDefault="00CB104F" w:rsidP="00657942">
            <w:pPr>
              <w:pStyle w:val="MPLParapgrah"/>
            </w:pPr>
            <w:r w:rsidRPr="00BC7633">
              <w:t xml:space="preserve">Amended 4.4 and 4.9 - </w:t>
            </w:r>
            <w:r w:rsidRPr="00BC7633">
              <w:rPr>
                <w:i/>
              </w:rPr>
              <w:t xml:space="preserve">In absentia </w:t>
            </w:r>
            <w:r w:rsidRPr="00BC7633">
              <w:t>conferral of degrees to occur on a rolling basis.</w:t>
            </w:r>
            <w:r w:rsidRPr="00BC7633">
              <w:br/>
              <w:t>Changed Policy Steward from "Deputy Vice-Chancellor (Academic) and Deputy Provost" to "Executive Director, Student &amp; Scholarly Services and Academic Registrar".</w:t>
            </w:r>
          </w:p>
        </w:tc>
      </w:tr>
      <w:tr w:rsidR="00CB104F" w:rsidRPr="00BC7633" w14:paraId="1AD4ED17" w14:textId="77777777" w:rsidTr="00EC1C6F">
        <w:tc>
          <w:tcPr>
            <w:tcW w:w="1728" w:type="dxa"/>
          </w:tcPr>
          <w:p w14:paraId="3DCCD96E" w14:textId="77777777" w:rsidR="00CB104F" w:rsidRPr="00BC7633" w:rsidRDefault="00CB104F" w:rsidP="00657942">
            <w:pPr>
              <w:pStyle w:val="MPLParapgrah"/>
            </w:pPr>
            <w:r>
              <w:t>7</w:t>
            </w:r>
          </w:p>
        </w:tc>
        <w:tc>
          <w:tcPr>
            <w:tcW w:w="1728" w:type="dxa"/>
          </w:tcPr>
          <w:p w14:paraId="76BE3297" w14:textId="77777777" w:rsidR="00CB104F" w:rsidRPr="00BC7633" w:rsidRDefault="00CB104F" w:rsidP="00657942">
            <w:pPr>
              <w:pStyle w:val="MPLParapgrah"/>
            </w:pPr>
            <w:r>
              <w:t>Council</w:t>
            </w:r>
          </w:p>
        </w:tc>
        <w:tc>
          <w:tcPr>
            <w:tcW w:w="1728" w:type="dxa"/>
          </w:tcPr>
          <w:p w14:paraId="79A7BEB1" w14:textId="5A2E267A" w:rsidR="00CB104F" w:rsidRPr="00BC7633" w:rsidRDefault="008679F1" w:rsidP="00657942">
            <w:pPr>
              <w:pStyle w:val="MPLParapgrah"/>
            </w:pPr>
            <w:r>
              <w:t>8 December 2022</w:t>
            </w:r>
          </w:p>
        </w:tc>
        <w:tc>
          <w:tcPr>
            <w:tcW w:w="1728" w:type="dxa"/>
          </w:tcPr>
          <w:p w14:paraId="334B859C" w14:textId="35A57BA0" w:rsidR="00CB104F" w:rsidRPr="00BC7633" w:rsidRDefault="008679F1" w:rsidP="00657942">
            <w:pPr>
              <w:pStyle w:val="MPLParapgrah"/>
            </w:pPr>
            <w:r>
              <w:t>22 December 2022</w:t>
            </w:r>
          </w:p>
        </w:tc>
        <w:tc>
          <w:tcPr>
            <w:tcW w:w="1728" w:type="dxa"/>
          </w:tcPr>
          <w:p w14:paraId="73518E81" w14:textId="77777777" w:rsidR="00CB104F" w:rsidRPr="00BC7633" w:rsidRDefault="00CB104F" w:rsidP="00657942">
            <w:pPr>
              <w:pStyle w:val="MPLParapgrah"/>
            </w:pPr>
            <w:r>
              <w:t>Full review as part of formal review cycle.</w:t>
            </w:r>
          </w:p>
        </w:tc>
      </w:tr>
    </w:tbl>
    <w:p w14:paraId="32366527" w14:textId="78EDB3F3" w:rsidR="00E27480" w:rsidRDefault="00E27480">
      <w:pPr>
        <w:rPr>
          <w:rFonts w:asciiTheme="majorHAnsi" w:hAnsiTheme="majorHAnsi" w:cstheme="majorHAnsi"/>
        </w:rPr>
      </w:pPr>
    </w:p>
    <w:p w14:paraId="3995F297" w14:textId="77777777" w:rsidR="00657942" w:rsidRDefault="00406C3A" w:rsidP="00657942">
      <w:pPr>
        <w:pStyle w:val="MPFSubheading"/>
      </w:pPr>
      <w:r>
        <w:softHyphen/>
      </w:r>
      <w:r>
        <w:softHyphen/>
      </w:r>
    </w:p>
    <w:p w14:paraId="332CF69B" w14:textId="77777777" w:rsidR="00657942" w:rsidRDefault="00657942" w:rsidP="00657942">
      <w:pPr>
        <w:pStyle w:val="MPFSubheading"/>
      </w:pPr>
    </w:p>
    <w:p w14:paraId="3961EC63" w14:textId="77777777" w:rsidR="00657942" w:rsidRDefault="00657942" w:rsidP="00657942">
      <w:pPr>
        <w:pStyle w:val="MPFSubheading"/>
      </w:pPr>
    </w:p>
    <w:sectPr w:rsidR="00657942" w:rsidSect="00034616">
      <w:footerReference w:type="default" r:id="rId13"/>
      <w:pgSz w:w="12240" w:h="15840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4620" w14:textId="77777777" w:rsidR="00F662B3" w:rsidRDefault="00F662B3">
      <w:pPr>
        <w:spacing w:after="0" w:line="240" w:lineRule="auto"/>
      </w:pPr>
      <w:r>
        <w:separator/>
      </w:r>
    </w:p>
  </w:endnote>
  <w:endnote w:type="continuationSeparator" w:id="0">
    <w:p w14:paraId="66B44677" w14:textId="77777777" w:rsidR="00F662B3" w:rsidRDefault="00F662B3">
      <w:pPr>
        <w:spacing w:after="0" w:line="240" w:lineRule="auto"/>
      </w:pPr>
      <w:r>
        <w:continuationSeparator/>
      </w:r>
    </w:p>
  </w:endnote>
  <w:endnote w:type="continuationNotice" w:id="1">
    <w:p w14:paraId="79ACDE98" w14:textId="77777777" w:rsidR="00F662B3" w:rsidRDefault="00F66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2"/>
      </w:rPr>
      <w:id w:val="193369695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39C628" w14:textId="3D0C75D6" w:rsidR="00E20EFD" w:rsidRPr="009446B5" w:rsidRDefault="00E20EFD" w:rsidP="009446B5">
            <w:pPr>
              <w:pStyle w:val="Footer"/>
              <w:jc w:val="right"/>
              <w:rPr>
                <w:rFonts w:asciiTheme="majorHAnsi" w:hAnsiTheme="majorHAnsi" w:cstheme="majorHAnsi"/>
                <w:sz w:val="22"/>
              </w:rPr>
            </w:pPr>
            <w:r w:rsidRPr="00D40A64">
              <w:rPr>
                <w:rFonts w:asciiTheme="majorHAnsi" w:hAnsiTheme="majorHAnsi" w:cstheme="majorHAnsi"/>
                <w:sz w:val="22"/>
              </w:rPr>
              <w:t xml:space="preserve">Page </w: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instrText xml:space="preserve"> PAGE </w:instrTex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Pr="00D40A64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2</w: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  <w:r w:rsidRPr="00D40A64">
              <w:rPr>
                <w:rFonts w:asciiTheme="majorHAnsi" w:hAnsiTheme="majorHAnsi" w:cstheme="majorHAnsi"/>
                <w:sz w:val="22"/>
              </w:rPr>
              <w:t xml:space="preserve"> of </w: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instrText xml:space="preserve"> NUMPAGES  </w:instrTex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Pr="00D40A64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2</w:t>
            </w:r>
            <w:r w:rsidRPr="00D40A64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58DC" w14:textId="77777777" w:rsidR="00F662B3" w:rsidRDefault="00F662B3">
      <w:pPr>
        <w:spacing w:after="0" w:line="240" w:lineRule="auto"/>
      </w:pPr>
      <w:r>
        <w:separator/>
      </w:r>
    </w:p>
  </w:footnote>
  <w:footnote w:type="continuationSeparator" w:id="0">
    <w:p w14:paraId="5883434C" w14:textId="77777777" w:rsidR="00F662B3" w:rsidRDefault="00F662B3">
      <w:pPr>
        <w:spacing w:after="0" w:line="240" w:lineRule="auto"/>
      </w:pPr>
      <w:r>
        <w:continuationSeparator/>
      </w:r>
    </w:p>
  </w:footnote>
  <w:footnote w:type="continuationNotice" w:id="1">
    <w:p w14:paraId="72F37541" w14:textId="77777777" w:rsidR="00F662B3" w:rsidRDefault="00F662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FE04BC"/>
    <w:multiLevelType w:val="hybridMultilevel"/>
    <w:tmpl w:val="FD900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349FC"/>
    <w:multiLevelType w:val="hybridMultilevel"/>
    <w:tmpl w:val="1016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407A"/>
    <w:multiLevelType w:val="multilevel"/>
    <w:tmpl w:val="09A8BCC6"/>
    <w:lvl w:ilvl="0">
      <w:start w:val="1"/>
      <w:numFmt w:val="decimal"/>
      <w:pStyle w:val="MPL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PLParagraphlevel1"/>
      <w:suff w:val="space"/>
      <w:lvlText w:val="%1.%2."/>
      <w:lvlJc w:val="left"/>
      <w:pPr>
        <w:ind w:left="357" w:firstLine="3"/>
      </w:pPr>
      <w:rPr>
        <w:rFonts w:hint="default"/>
        <w:b w:val="0"/>
      </w:rPr>
    </w:lvl>
    <w:lvl w:ilvl="2">
      <w:start w:val="1"/>
      <w:numFmt w:val="lowerLetter"/>
      <w:pStyle w:val="MPLParagraphlevel2"/>
      <w:suff w:val="space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lowerRoman"/>
      <w:pStyle w:val="MPLParagraphlevel3"/>
      <w:suff w:val="space"/>
      <w:lvlText w:val="%4."/>
      <w:lvlJc w:val="left"/>
      <w:pPr>
        <w:ind w:left="1077" w:firstLine="3"/>
      </w:pPr>
      <w:rPr>
        <w:rFonts w:hint="default"/>
      </w:rPr>
    </w:lvl>
    <w:lvl w:ilvl="4">
      <w:start w:val="1"/>
      <w:numFmt w:val="bullet"/>
      <w:pStyle w:val="MPLParagraphlevel4"/>
      <w:suff w:val="space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DE28F5"/>
    <w:multiLevelType w:val="hybridMultilevel"/>
    <w:tmpl w:val="FA78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41474">
    <w:abstractNumId w:val="8"/>
  </w:num>
  <w:num w:numId="2" w16cid:durableId="917442337">
    <w:abstractNumId w:val="6"/>
  </w:num>
  <w:num w:numId="3" w16cid:durableId="1605112288">
    <w:abstractNumId w:val="5"/>
  </w:num>
  <w:num w:numId="4" w16cid:durableId="1918712417">
    <w:abstractNumId w:val="4"/>
  </w:num>
  <w:num w:numId="5" w16cid:durableId="893468546">
    <w:abstractNumId w:val="7"/>
  </w:num>
  <w:num w:numId="6" w16cid:durableId="73667335">
    <w:abstractNumId w:val="3"/>
  </w:num>
  <w:num w:numId="7" w16cid:durableId="556741936">
    <w:abstractNumId w:val="2"/>
  </w:num>
  <w:num w:numId="8" w16cid:durableId="654115619">
    <w:abstractNumId w:val="1"/>
  </w:num>
  <w:num w:numId="9" w16cid:durableId="29379223">
    <w:abstractNumId w:val="0"/>
  </w:num>
  <w:num w:numId="10" w16cid:durableId="826822236">
    <w:abstractNumId w:val="12"/>
  </w:num>
  <w:num w:numId="11" w16cid:durableId="2057587265">
    <w:abstractNumId w:val="10"/>
  </w:num>
  <w:num w:numId="12" w16cid:durableId="1718505108">
    <w:abstractNumId w:val="9"/>
  </w:num>
  <w:num w:numId="13" w16cid:durableId="879821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AB7"/>
    <w:rsid w:val="000301F4"/>
    <w:rsid w:val="00031576"/>
    <w:rsid w:val="00031D28"/>
    <w:rsid w:val="00034616"/>
    <w:rsid w:val="00035425"/>
    <w:rsid w:val="00052B60"/>
    <w:rsid w:val="00057872"/>
    <w:rsid w:val="0006063C"/>
    <w:rsid w:val="00072C2F"/>
    <w:rsid w:val="0007457A"/>
    <w:rsid w:val="000748EB"/>
    <w:rsid w:val="00077A25"/>
    <w:rsid w:val="00095380"/>
    <w:rsid w:val="000A2723"/>
    <w:rsid w:val="000B1D8B"/>
    <w:rsid w:val="000C1462"/>
    <w:rsid w:val="000C6BFE"/>
    <w:rsid w:val="000E2FB7"/>
    <w:rsid w:val="000E4CA3"/>
    <w:rsid w:val="000E557A"/>
    <w:rsid w:val="000F2F47"/>
    <w:rsid w:val="0010263B"/>
    <w:rsid w:val="0010370C"/>
    <w:rsid w:val="00105B7C"/>
    <w:rsid w:val="0011543C"/>
    <w:rsid w:val="00131A11"/>
    <w:rsid w:val="00134E12"/>
    <w:rsid w:val="00141FD2"/>
    <w:rsid w:val="001422C9"/>
    <w:rsid w:val="0014242B"/>
    <w:rsid w:val="00142520"/>
    <w:rsid w:val="00145534"/>
    <w:rsid w:val="0015074B"/>
    <w:rsid w:val="00157C75"/>
    <w:rsid w:val="001709D8"/>
    <w:rsid w:val="00177E0A"/>
    <w:rsid w:val="001800AB"/>
    <w:rsid w:val="0019068A"/>
    <w:rsid w:val="00196E2B"/>
    <w:rsid w:val="001A0415"/>
    <w:rsid w:val="001A1E64"/>
    <w:rsid w:val="001B2A89"/>
    <w:rsid w:val="001B3174"/>
    <w:rsid w:val="001B39CE"/>
    <w:rsid w:val="001B404D"/>
    <w:rsid w:val="001B4DC7"/>
    <w:rsid w:val="001C340A"/>
    <w:rsid w:val="001D0E4D"/>
    <w:rsid w:val="001D54AA"/>
    <w:rsid w:val="001E236D"/>
    <w:rsid w:val="001F1034"/>
    <w:rsid w:val="002025A9"/>
    <w:rsid w:val="00202F94"/>
    <w:rsid w:val="00205296"/>
    <w:rsid w:val="00205682"/>
    <w:rsid w:val="00215CC0"/>
    <w:rsid w:val="002321C0"/>
    <w:rsid w:val="002552D6"/>
    <w:rsid w:val="00270834"/>
    <w:rsid w:val="00280F28"/>
    <w:rsid w:val="002835F2"/>
    <w:rsid w:val="0028709A"/>
    <w:rsid w:val="0029639D"/>
    <w:rsid w:val="002973AF"/>
    <w:rsid w:val="002A2DA8"/>
    <w:rsid w:val="002B62BE"/>
    <w:rsid w:val="002C6443"/>
    <w:rsid w:val="002D4643"/>
    <w:rsid w:val="002E36FD"/>
    <w:rsid w:val="002E5B19"/>
    <w:rsid w:val="002F136D"/>
    <w:rsid w:val="00301054"/>
    <w:rsid w:val="00306888"/>
    <w:rsid w:val="0031799D"/>
    <w:rsid w:val="003205F4"/>
    <w:rsid w:val="00320849"/>
    <w:rsid w:val="003214A1"/>
    <w:rsid w:val="00326F90"/>
    <w:rsid w:val="0033039B"/>
    <w:rsid w:val="00337748"/>
    <w:rsid w:val="0035457B"/>
    <w:rsid w:val="00361071"/>
    <w:rsid w:val="00362C4A"/>
    <w:rsid w:val="00371849"/>
    <w:rsid w:val="00380760"/>
    <w:rsid w:val="003853DB"/>
    <w:rsid w:val="003859FA"/>
    <w:rsid w:val="003909A0"/>
    <w:rsid w:val="003A0436"/>
    <w:rsid w:val="003A36B0"/>
    <w:rsid w:val="003A6682"/>
    <w:rsid w:val="003B5460"/>
    <w:rsid w:val="003C3A95"/>
    <w:rsid w:val="003D6FF9"/>
    <w:rsid w:val="003D764C"/>
    <w:rsid w:val="003E0A91"/>
    <w:rsid w:val="003E1C67"/>
    <w:rsid w:val="003E3372"/>
    <w:rsid w:val="003E4485"/>
    <w:rsid w:val="003E4C05"/>
    <w:rsid w:val="003F3214"/>
    <w:rsid w:val="003F4D1D"/>
    <w:rsid w:val="004027F3"/>
    <w:rsid w:val="004032F1"/>
    <w:rsid w:val="0040514B"/>
    <w:rsid w:val="00406C3A"/>
    <w:rsid w:val="0042118B"/>
    <w:rsid w:val="004266FC"/>
    <w:rsid w:val="00441817"/>
    <w:rsid w:val="004444DA"/>
    <w:rsid w:val="004459E8"/>
    <w:rsid w:val="00447E06"/>
    <w:rsid w:val="004604DD"/>
    <w:rsid w:val="00464BB5"/>
    <w:rsid w:val="00466449"/>
    <w:rsid w:val="00467196"/>
    <w:rsid w:val="00475331"/>
    <w:rsid w:val="0047715E"/>
    <w:rsid w:val="00482FF9"/>
    <w:rsid w:val="00485FBA"/>
    <w:rsid w:val="00492C5B"/>
    <w:rsid w:val="00492EC0"/>
    <w:rsid w:val="004944DF"/>
    <w:rsid w:val="00494C2D"/>
    <w:rsid w:val="004A37BA"/>
    <w:rsid w:val="004B1008"/>
    <w:rsid w:val="004B37FE"/>
    <w:rsid w:val="004D4094"/>
    <w:rsid w:val="004E5925"/>
    <w:rsid w:val="004E5DC4"/>
    <w:rsid w:val="004E7AD8"/>
    <w:rsid w:val="0050528F"/>
    <w:rsid w:val="005058AC"/>
    <w:rsid w:val="00513EEE"/>
    <w:rsid w:val="005328C9"/>
    <w:rsid w:val="00535C23"/>
    <w:rsid w:val="00541D54"/>
    <w:rsid w:val="00543AE7"/>
    <w:rsid w:val="0054655C"/>
    <w:rsid w:val="005516C6"/>
    <w:rsid w:val="005531B6"/>
    <w:rsid w:val="00563051"/>
    <w:rsid w:val="00563F39"/>
    <w:rsid w:val="005666D7"/>
    <w:rsid w:val="0057345C"/>
    <w:rsid w:val="00573B86"/>
    <w:rsid w:val="00574FDE"/>
    <w:rsid w:val="0058165D"/>
    <w:rsid w:val="00585EE7"/>
    <w:rsid w:val="00590491"/>
    <w:rsid w:val="005A7575"/>
    <w:rsid w:val="005B36BA"/>
    <w:rsid w:val="005B64C5"/>
    <w:rsid w:val="005C1B59"/>
    <w:rsid w:val="005C2F0B"/>
    <w:rsid w:val="005D345C"/>
    <w:rsid w:val="005D352C"/>
    <w:rsid w:val="005E3B6B"/>
    <w:rsid w:val="005E7773"/>
    <w:rsid w:val="00600C9D"/>
    <w:rsid w:val="00605A8E"/>
    <w:rsid w:val="0062721D"/>
    <w:rsid w:val="00636055"/>
    <w:rsid w:val="00640E79"/>
    <w:rsid w:val="00646D65"/>
    <w:rsid w:val="00647235"/>
    <w:rsid w:val="00650CE8"/>
    <w:rsid w:val="00654299"/>
    <w:rsid w:val="00655F29"/>
    <w:rsid w:val="00657942"/>
    <w:rsid w:val="0066370D"/>
    <w:rsid w:val="006655C4"/>
    <w:rsid w:val="006670A5"/>
    <w:rsid w:val="00675B09"/>
    <w:rsid w:val="006872C1"/>
    <w:rsid w:val="00692CE1"/>
    <w:rsid w:val="00695ECE"/>
    <w:rsid w:val="006A55F5"/>
    <w:rsid w:val="006E5100"/>
    <w:rsid w:val="006E5F51"/>
    <w:rsid w:val="006E60F3"/>
    <w:rsid w:val="006F673A"/>
    <w:rsid w:val="00700FD0"/>
    <w:rsid w:val="0070501B"/>
    <w:rsid w:val="00707B2A"/>
    <w:rsid w:val="007137C7"/>
    <w:rsid w:val="00713AD0"/>
    <w:rsid w:val="0073393C"/>
    <w:rsid w:val="00733B1E"/>
    <w:rsid w:val="00741A86"/>
    <w:rsid w:val="00763631"/>
    <w:rsid w:val="007753DF"/>
    <w:rsid w:val="007945F9"/>
    <w:rsid w:val="007A25D4"/>
    <w:rsid w:val="007A2FD7"/>
    <w:rsid w:val="007A7548"/>
    <w:rsid w:val="007B3305"/>
    <w:rsid w:val="007B71D8"/>
    <w:rsid w:val="007C1219"/>
    <w:rsid w:val="007D3F23"/>
    <w:rsid w:val="007D4079"/>
    <w:rsid w:val="007E5434"/>
    <w:rsid w:val="007F57CC"/>
    <w:rsid w:val="007F6C51"/>
    <w:rsid w:val="00802E4F"/>
    <w:rsid w:val="008036E4"/>
    <w:rsid w:val="008040EF"/>
    <w:rsid w:val="008150B1"/>
    <w:rsid w:val="0081688D"/>
    <w:rsid w:val="00824ABE"/>
    <w:rsid w:val="0082766D"/>
    <w:rsid w:val="00836D5B"/>
    <w:rsid w:val="00843639"/>
    <w:rsid w:val="00843715"/>
    <w:rsid w:val="008506B5"/>
    <w:rsid w:val="008539BE"/>
    <w:rsid w:val="00860E7E"/>
    <w:rsid w:val="00862C3B"/>
    <w:rsid w:val="00866B59"/>
    <w:rsid w:val="008679F1"/>
    <w:rsid w:val="00871FB2"/>
    <w:rsid w:val="0088021B"/>
    <w:rsid w:val="00884006"/>
    <w:rsid w:val="008847A9"/>
    <w:rsid w:val="00891BFA"/>
    <w:rsid w:val="008973BC"/>
    <w:rsid w:val="008B0A0B"/>
    <w:rsid w:val="008B6B67"/>
    <w:rsid w:val="008C1F2B"/>
    <w:rsid w:val="008C6BD6"/>
    <w:rsid w:val="008D7076"/>
    <w:rsid w:val="008E4E32"/>
    <w:rsid w:val="008E4E8F"/>
    <w:rsid w:val="008F6455"/>
    <w:rsid w:val="00907C3A"/>
    <w:rsid w:val="00912C02"/>
    <w:rsid w:val="00916140"/>
    <w:rsid w:val="009304AA"/>
    <w:rsid w:val="009337AF"/>
    <w:rsid w:val="00941D27"/>
    <w:rsid w:val="009446B5"/>
    <w:rsid w:val="00947153"/>
    <w:rsid w:val="009501A7"/>
    <w:rsid w:val="00955536"/>
    <w:rsid w:val="009645C1"/>
    <w:rsid w:val="009660A4"/>
    <w:rsid w:val="00983B7C"/>
    <w:rsid w:val="009844F8"/>
    <w:rsid w:val="00997DCC"/>
    <w:rsid w:val="00997EE7"/>
    <w:rsid w:val="009A3A43"/>
    <w:rsid w:val="009B0CDA"/>
    <w:rsid w:val="009C3076"/>
    <w:rsid w:val="009D6627"/>
    <w:rsid w:val="009E0677"/>
    <w:rsid w:val="00A02A40"/>
    <w:rsid w:val="00A055AA"/>
    <w:rsid w:val="00A06D15"/>
    <w:rsid w:val="00A175E8"/>
    <w:rsid w:val="00A17709"/>
    <w:rsid w:val="00A43515"/>
    <w:rsid w:val="00A56EC3"/>
    <w:rsid w:val="00A73B65"/>
    <w:rsid w:val="00A85558"/>
    <w:rsid w:val="00AA1D8D"/>
    <w:rsid w:val="00AA1FE5"/>
    <w:rsid w:val="00AA3E30"/>
    <w:rsid w:val="00AB393B"/>
    <w:rsid w:val="00AC2A69"/>
    <w:rsid w:val="00AD760A"/>
    <w:rsid w:val="00AE07A4"/>
    <w:rsid w:val="00AE3846"/>
    <w:rsid w:val="00AF1CDA"/>
    <w:rsid w:val="00AF397C"/>
    <w:rsid w:val="00B003D3"/>
    <w:rsid w:val="00B133B9"/>
    <w:rsid w:val="00B15793"/>
    <w:rsid w:val="00B222FD"/>
    <w:rsid w:val="00B375E8"/>
    <w:rsid w:val="00B45FF4"/>
    <w:rsid w:val="00B47730"/>
    <w:rsid w:val="00B5687B"/>
    <w:rsid w:val="00B64B05"/>
    <w:rsid w:val="00B70E05"/>
    <w:rsid w:val="00B71E55"/>
    <w:rsid w:val="00B80FB1"/>
    <w:rsid w:val="00B81593"/>
    <w:rsid w:val="00BA0DB0"/>
    <w:rsid w:val="00BA780D"/>
    <w:rsid w:val="00BA79E7"/>
    <w:rsid w:val="00BB312E"/>
    <w:rsid w:val="00BB4412"/>
    <w:rsid w:val="00BB733B"/>
    <w:rsid w:val="00BC7633"/>
    <w:rsid w:val="00BD0A68"/>
    <w:rsid w:val="00BD2005"/>
    <w:rsid w:val="00BD53C9"/>
    <w:rsid w:val="00BE03CA"/>
    <w:rsid w:val="00BE0604"/>
    <w:rsid w:val="00BE18D2"/>
    <w:rsid w:val="00C0590F"/>
    <w:rsid w:val="00C22804"/>
    <w:rsid w:val="00C2521D"/>
    <w:rsid w:val="00C26263"/>
    <w:rsid w:val="00C35C3D"/>
    <w:rsid w:val="00C45C4E"/>
    <w:rsid w:val="00C45FE0"/>
    <w:rsid w:val="00C5161E"/>
    <w:rsid w:val="00C52C2F"/>
    <w:rsid w:val="00C553EC"/>
    <w:rsid w:val="00C62696"/>
    <w:rsid w:val="00C659C0"/>
    <w:rsid w:val="00C65C3A"/>
    <w:rsid w:val="00C65F0A"/>
    <w:rsid w:val="00C67BD6"/>
    <w:rsid w:val="00C71B72"/>
    <w:rsid w:val="00C7508F"/>
    <w:rsid w:val="00C75CB7"/>
    <w:rsid w:val="00C86122"/>
    <w:rsid w:val="00C944B5"/>
    <w:rsid w:val="00C94A16"/>
    <w:rsid w:val="00CA2D9C"/>
    <w:rsid w:val="00CB0664"/>
    <w:rsid w:val="00CB09A7"/>
    <w:rsid w:val="00CB104F"/>
    <w:rsid w:val="00CB11D6"/>
    <w:rsid w:val="00CC2FA1"/>
    <w:rsid w:val="00CC4246"/>
    <w:rsid w:val="00CC7C5B"/>
    <w:rsid w:val="00CD7424"/>
    <w:rsid w:val="00CF27CD"/>
    <w:rsid w:val="00CF47B8"/>
    <w:rsid w:val="00D11E1E"/>
    <w:rsid w:val="00D11EA4"/>
    <w:rsid w:val="00D17D10"/>
    <w:rsid w:val="00D2518D"/>
    <w:rsid w:val="00D337BE"/>
    <w:rsid w:val="00D40A64"/>
    <w:rsid w:val="00D47210"/>
    <w:rsid w:val="00D4730B"/>
    <w:rsid w:val="00D5299C"/>
    <w:rsid w:val="00D67CE4"/>
    <w:rsid w:val="00D7322F"/>
    <w:rsid w:val="00D735BD"/>
    <w:rsid w:val="00D817EB"/>
    <w:rsid w:val="00D824DA"/>
    <w:rsid w:val="00D90F09"/>
    <w:rsid w:val="00D95418"/>
    <w:rsid w:val="00D96856"/>
    <w:rsid w:val="00D96BC7"/>
    <w:rsid w:val="00DA260D"/>
    <w:rsid w:val="00DA3BB9"/>
    <w:rsid w:val="00DA3D67"/>
    <w:rsid w:val="00DB6B80"/>
    <w:rsid w:val="00DD03A7"/>
    <w:rsid w:val="00DD46D9"/>
    <w:rsid w:val="00DD6C25"/>
    <w:rsid w:val="00DE19EC"/>
    <w:rsid w:val="00DE40CC"/>
    <w:rsid w:val="00DF2B5B"/>
    <w:rsid w:val="00DF4585"/>
    <w:rsid w:val="00DF77BF"/>
    <w:rsid w:val="00E0457A"/>
    <w:rsid w:val="00E10DDC"/>
    <w:rsid w:val="00E13B1C"/>
    <w:rsid w:val="00E20EFD"/>
    <w:rsid w:val="00E27480"/>
    <w:rsid w:val="00E32DD6"/>
    <w:rsid w:val="00E337B8"/>
    <w:rsid w:val="00E41900"/>
    <w:rsid w:val="00E51621"/>
    <w:rsid w:val="00E53191"/>
    <w:rsid w:val="00E62F77"/>
    <w:rsid w:val="00E67024"/>
    <w:rsid w:val="00E67203"/>
    <w:rsid w:val="00E85FAE"/>
    <w:rsid w:val="00E92CD0"/>
    <w:rsid w:val="00EA2DDE"/>
    <w:rsid w:val="00EB4F22"/>
    <w:rsid w:val="00ED0EB3"/>
    <w:rsid w:val="00ED19F6"/>
    <w:rsid w:val="00ED7F72"/>
    <w:rsid w:val="00EE0FF3"/>
    <w:rsid w:val="00EE7FDD"/>
    <w:rsid w:val="00F00E14"/>
    <w:rsid w:val="00F01633"/>
    <w:rsid w:val="00F16E00"/>
    <w:rsid w:val="00F25E3E"/>
    <w:rsid w:val="00F425E1"/>
    <w:rsid w:val="00F434D0"/>
    <w:rsid w:val="00F438A1"/>
    <w:rsid w:val="00F46D76"/>
    <w:rsid w:val="00F50A85"/>
    <w:rsid w:val="00F53DFC"/>
    <w:rsid w:val="00F57CDA"/>
    <w:rsid w:val="00F600FE"/>
    <w:rsid w:val="00F660B8"/>
    <w:rsid w:val="00F662B3"/>
    <w:rsid w:val="00F67ED7"/>
    <w:rsid w:val="00F70BFC"/>
    <w:rsid w:val="00F870AC"/>
    <w:rsid w:val="00FA13AB"/>
    <w:rsid w:val="00FB2B33"/>
    <w:rsid w:val="00FB3250"/>
    <w:rsid w:val="00FB50EC"/>
    <w:rsid w:val="00FC03D0"/>
    <w:rsid w:val="00FC36D0"/>
    <w:rsid w:val="00FC5D29"/>
    <w:rsid w:val="00FC693F"/>
    <w:rsid w:val="00FD17EE"/>
    <w:rsid w:val="00FD1811"/>
    <w:rsid w:val="00FD1A53"/>
    <w:rsid w:val="00FE0308"/>
    <w:rsid w:val="00FF6A0B"/>
    <w:rsid w:val="12CCC67F"/>
    <w:rsid w:val="13920AD9"/>
    <w:rsid w:val="3B042271"/>
    <w:rsid w:val="540A0B4B"/>
    <w:rsid w:val="546EAF37"/>
    <w:rsid w:val="57C77454"/>
    <w:rsid w:val="683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7B1E8"/>
  <w14:defaultImageDpi w14:val="300"/>
  <w15:docId w15:val="{652A2E3B-93AB-4A32-B2AA-F7FBB57D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hAnsiTheme="majorHAnsi" w:cstheme="majorBidi" w:asciiTheme="Source Sans Pro"/>
      <w:b/>
      <w:bCs/>
      <w:color w:val="000F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hAnsiTheme="majorHAnsi" w:cstheme="majorBidi" w:asciiTheme="Source Sans Pro"/>
      <w:b/>
      <w:bCs/>
      <w:color w:val="000F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hAnsiTheme="majorHAnsi" w:cstheme="majorBidi" w:asciiTheme="Source Sans Pro"/>
      <w:b/>
      <w:bCs/>
      <w:color w:val="000F4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hAnsiTheme="majorHAnsi" w:cstheme="majorBidi" w:asciiTheme="Source Sans Pro"/>
      <w:b/>
      <w:bCs/>
      <w:i/>
      <w:iCs/>
      <w:color w:val="000F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hAnsiTheme="majorHAnsi" w:cstheme="majorBidi" w:asciiTheme="Source Sans Pro"/>
      <w:color w:val="000F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hAnsiTheme="majorHAnsi" w:cstheme="majorBidi" w:asciiTheme="Source Sans Pro"/>
      <w:i/>
      <w:iCs/>
      <w:color w:val="000F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141FD2"/>
    <w:pPr>
      <w:spacing w:after="0" w:line="240" w:lineRule="auto"/>
    </w:pPr>
    <w:rPr>
      <w:rFonts w:ascii="Arial" w:hAnsi="Arial"/>
      <w:sz w:val="20"/>
    </w:rPr>
  </w:style>
  <w:style w:type="character" w:customStyle="1" w:styleId="normaltextrun">
    <w:name w:val="normaltextrun"/>
    <w:basedOn w:val="DefaultParagraphFont"/>
    <w:rsid w:val="001B3174"/>
  </w:style>
  <w:style w:type="character" w:customStyle="1" w:styleId="eop">
    <w:name w:val="eop"/>
    <w:basedOn w:val="DefaultParagraphFont"/>
    <w:rsid w:val="001B3174"/>
  </w:style>
  <w:style w:type="paragraph" w:customStyle="1" w:styleId="paragraph">
    <w:name w:val="paragraph"/>
    <w:basedOn w:val="Normal"/>
    <w:rsid w:val="001B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2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A8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A8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A89"/>
    <w:rPr>
      <w:rFonts w:ascii="Arial" w:hAnsi="Arial"/>
      <w:b/>
      <w:bCs/>
      <w:sz w:val="20"/>
      <w:szCs w:val="20"/>
    </w:rPr>
  </w:style>
  <w:style w:type="character" w:styleId="Hyperlink">
    <w:name w:val="Hyperlink"/>
    <w:aliases w:val="MPL - Hyperlink"/>
    <w:basedOn w:val="DefaultParagraphFont"/>
    <w:uiPriority w:val="99"/>
    <w:unhideWhenUsed/>
    <w:qFormat/>
    <w:rsid w:val="00406C3A"/>
    <w:rPr>
      <w:color w:val="0000FF" w:themeColor="hyperlink"/>
      <w:u w:val="single"/>
    </w:rPr>
  </w:style>
  <w:style w:type="paragraph" w:customStyle="1" w:styleId="MPLParagraphlevel1">
    <w:name w:val="MPL Paragraph level 1"/>
    <w:basedOn w:val="ListParagraph"/>
    <w:qFormat/>
    <w:rsid w:val="008679F1"/>
    <w:pPr>
      <w:numPr>
        <w:ilvl w:val="1"/>
        <w:numId w:val="13"/>
      </w:numPr>
      <w:tabs>
        <w:tab w:val="num" w:pos="360"/>
      </w:tabs>
      <w:spacing w:afterLines="50" w:after="120"/>
      <w:ind w:firstLine="0"/>
      <w:contextualSpacing w:val="0"/>
    </w:pPr>
    <w:rPr>
      <w:rFonts w:ascii="Source Sans Pro" w:hAnsi="Source Sans Pro" w:cs="Arial" w:asciiTheme="Source Sans Pro"/>
      <w:sz w:val="20"/>
    </w:rPr>
  </w:style>
  <w:style w:type="paragraph" w:customStyle="1" w:styleId="MPLHeading1">
    <w:name w:val="MPL Heading 1"/>
    <w:basedOn w:val="Heading2"/>
    <w:qFormat/>
    <w:rsid w:val="00406C3A"/>
    <w:pPr>
      <w:numPr>
        <w:numId w:val="13"/>
      </w:numPr>
      <w:tabs>
        <w:tab w:val="num" w:pos="360"/>
      </w:tabs>
      <w:spacing w:afterLines="50" w:after="120"/>
    </w:pPr>
    <w:rPr>
      <w:rFonts w:ascii="Source Sans Pro" w:hAnsi="Source Sans Pro" w:cs="Arial" w:asciiTheme="Source Sans Pro"/>
      <w:color w:val="000F46"/>
      <w:sz w:val="32"/>
    </w:rPr>
  </w:style>
  <w:style w:type="paragraph" w:customStyle="1" w:styleId="MPLParagraphlevel2">
    <w:name w:val="MPL Paragraph level 2"/>
    <w:basedOn w:val="ListParagraph"/>
    <w:qFormat/>
    <w:rsid w:val="00406C3A"/>
    <w:pPr>
      <w:numPr>
        <w:ilvl w:val="2"/>
        <w:numId w:val="13"/>
      </w:numPr>
      <w:tabs>
        <w:tab w:val="num" w:pos="360"/>
      </w:tabs>
    </w:pPr>
    <w:rPr>
      <w:rFonts w:ascii="Source Sans Pro" w:hAnsi="Source Sans Pro" w:cs="Arial" w:asciiTheme="Source Sans Pro"/>
      <w:sz w:val="20"/>
    </w:rPr>
  </w:style>
  <w:style w:type="paragraph" w:customStyle="1" w:styleId="MPLParagraphlevel3">
    <w:name w:val="MPL Paragraph level 3"/>
    <w:basedOn w:val="ListParagraph"/>
    <w:qFormat/>
    <w:rsid w:val="00406C3A"/>
    <w:pPr>
      <w:numPr>
        <w:ilvl w:val="3"/>
        <w:numId w:val="13"/>
      </w:numPr>
      <w:tabs>
        <w:tab w:val="num" w:pos="360"/>
      </w:tabs>
      <w:spacing w:before="120" w:after="120"/>
      <w:ind w:left="720" w:firstLine="6"/>
    </w:pPr>
    <w:rPr>
      <w:rFonts w:ascii="Source Sans Pro" w:hAnsi="Source Sans Pro" w:cs="Arial" w:asciiTheme="Source Sans Pro"/>
      <w:sz w:val="20"/>
    </w:rPr>
  </w:style>
  <w:style w:type="paragraph" w:customStyle="1" w:styleId="MPLParagraphlevel4">
    <w:name w:val="MPL Paragraph level 4"/>
    <w:basedOn w:val="ListParagraph"/>
    <w:qFormat/>
    <w:rsid w:val="00406C3A"/>
    <w:pPr>
      <w:numPr>
        <w:ilvl w:val="4"/>
        <w:numId w:val="13"/>
      </w:numPr>
      <w:tabs>
        <w:tab w:val="num" w:pos="360"/>
      </w:tabs>
      <w:spacing w:afterLines="50" w:after="120"/>
      <w:ind w:left="720"/>
    </w:pPr>
    <w:rPr>
      <w:rFonts w:ascii="Source Sans Pro" w:hAnsi="Source Sans Pro" w:cs="Arial" w:asciiTheme="Source Sans Pro"/>
      <w:sz w:val="20"/>
    </w:rPr>
  </w:style>
  <w:style w:type="paragraph" w:customStyle="1" w:styleId="MPFSubheading">
    <w:name w:val="MPF Subheading"/>
    <w:basedOn w:val="Heading3"/>
    <w:qFormat/>
    <w:rsid w:val="00406C3A"/>
    <w:pPr>
      <w:spacing w:afterLines="50" w:after="120"/>
    </w:pPr>
    <w:rPr>
      <w:rFonts w:ascii="Source Sans Pro" w:hAnsi="Source Sans Pro" w:cs="Arial" w:asciiTheme="Source Sans Pro"/>
      <w:color w:val="000F46"/>
      <w:sz w:val="28"/>
    </w:rPr>
  </w:style>
  <w:style w:type="paragraph" w:customStyle="1" w:styleId="MPLParapgrah">
    <w:name w:val="MPL Parapgrah"/>
    <w:basedOn w:val="Normal"/>
    <w:qFormat/>
    <w:rsid w:val="00406C3A"/>
    <w:rPr>
      <w:rFonts w:ascii="Source Sans Pro" w:hAnsi="Source Sans Pro" w:cs="Arial"/>
      <w:lang w:val="en-AU"/>
    </w:rPr>
  </w:style>
  <w:style w:type="paragraph" w:customStyle="1" w:styleId="MPLNoNumberingHeadings">
    <w:name w:val="MPL No Numbering Headings"/>
    <w:basedOn w:val="Heading2"/>
    <w:qFormat/>
    <w:rsid w:val="00406C3A"/>
    <w:rPr>
      <w:rFonts w:ascii="Source Sans Pro" w:hAnsi="Source Sans Pro" w:cs="Arial" w:asciiTheme="Source Sans Pro"/>
      <w:color w:val="000F4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bout.unimelb.edu.au/__data/assets/word_doc/0036/374598/Order-of-Proceeding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16" Type="http://schemas.openxmlformats.org/officeDocument/2006/relationships/hyperlink" Target="https://policy.unimelb.edu.au/category/Student Management and Support/" TargetMode="External"/><Relationship Id="rId17" Type="http://schemas.openxmlformats.org/officeDocument/2006/relationships/hyperlink" Target="https://au.promapp.com/unimelb/Process/Group/ b706391a-45fc-485c-9a92-f353c6d8c9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4754AD21425428B865DAFF04FC319" ma:contentTypeVersion="16" ma:contentTypeDescription="Create a new document." ma:contentTypeScope="" ma:versionID="d262a1340edf3c90838f68d181c2c84a">
  <xsd:schema xmlns:xsd="http://www.w3.org/2001/XMLSchema" xmlns:xs="http://www.w3.org/2001/XMLSchema" xmlns:p="http://schemas.microsoft.com/office/2006/metadata/properties" xmlns:ns2="9865d38a-ddae-4410-873e-ad042e331b62" xmlns:ns3="bedd9604-8841-412f-81c7-89193a2fc921" xmlns:ns4="f07d8113-1d44-46cb-baa5-a742d0650dfc" targetNamespace="http://schemas.microsoft.com/office/2006/metadata/properties" ma:root="true" ma:fieldsID="4c8346a3eab032981874928a7517b224" ns2:_="" ns3:_="" ns4:_="">
    <xsd:import namespace="9865d38a-ddae-4410-873e-ad042e331b62"/>
    <xsd:import namespace="bedd9604-8841-412f-81c7-89193a2fc921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5d38a-ddae-4410-873e-ad042e331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d9604-8841-412f-81c7-89193a2fc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435c81-3602-4ef6-a7c4-de58700ad98f}" ma:internalName="TaxCatchAll" ma:showField="CatchAllData" ma:web="bedd9604-8841-412f-81c7-89193a2fc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/>
    <Comment xmlns="9865d38a-ddae-4410-873e-ad042e331b62" xsi:nil="true"/>
    <lcf76f155ced4ddcb4097134ff3c332f xmlns="9865d38a-ddae-4410-873e-ad042e331b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CC1CF62-9B61-439B-B5BF-127CEF958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5d38a-ddae-4410-873e-ad042e331b62"/>
    <ds:schemaRef ds:uri="bedd9604-8841-412f-81c7-89193a2fc921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013D1-BCA8-4126-A5AE-23EF04D28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5FB0A-F412-4A96-B6CE-77043A52CEF8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9865d38a-ddae-4410-873e-ad042e331b62"/>
  </ds:schemaRefs>
</ds:datastoreItem>
</file>

<file path=customXml/itemProps4.xml><?xml version="1.0" encoding="utf-8"?>
<ds:datastoreItem xmlns:ds="http://schemas.openxmlformats.org/officeDocument/2006/customXml" ds:itemID="{7F0EFE63-F630-47BC-98ED-7B287487C1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D403D-24E2-49A1-AF63-5E4377223B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1008</Words>
  <Characters>5749</Characters>
  <Application>Microsoft Office Word</Application>
  <DocSecurity>0</DocSecurity>
  <Lines>47</Lines>
  <Paragraphs>13</Paragraphs>
  <ScaleCrop>false</ScaleCrop>
  <Manager/>
  <Company/>
  <LinksUpToDate>false</LinksUpToDate>
  <CharactersWithSpaces>6744</CharactersWithSpaces>
  <SharedDoc>false</SharedDoc>
  <HyperlinkBase/>
  <HLinks>
    <vt:vector size="12" baseType="variant"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https://au.promapp.com/unimelb/Process/Group/ b706391a-45fc-485c-9a92-f353c6d8c94c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https://policy.unimelb.edu.au/category/Student Management and 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Gabbie Hepworth</cp:lastModifiedBy>
  <cp:revision>24</cp:revision>
  <dcterms:created xsi:type="dcterms:W3CDTF">2022-11-15T03:38:00Z</dcterms:created>
  <dcterms:modified xsi:type="dcterms:W3CDTF">2022-12-22T03:34:00Z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0x0101004034754AD21425428B865DAFF04FC319</vt:lpwstr>
  </property>
  <property fmtid="{D5CDD505-2E9C-101B-9397-08002B2CF9AE}" pid="3" name="MediaServiceImageTags">
    <vt:lpwstr/>
  </property>
</Properties>
</file>