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Appointment Types Procedure (MPF1214)</w:t>
      </w:r>
    </w:p>
    <w:p>
      <w:r/>
    </w:p>
    <w:p>
      <w:r>
        <w:rPr>
          <w:rFonts w:ascii="Helvetica" w:hAnsi="Helvetica"/>
          <w:b/>
          <w:sz w:val="20"/>
        </w:rPr>
        <w:t xml:space="preserve">Category: </w:t>
      </w:r>
      <w:r/>
      <w:hyperlink r:id="rId17">
        <w:r>
          <w:rPr>
            <w:color w:val="0000FF"/>
            <w:u w:val="single"/>
          </w:rPr>
          <w:t xml:space="preserve"> Employment </w:t>
        </w:r>
      </w:hyperlink>
      <w:r/>
      <w:r>
        <w:br/>
      </w:r>
      <w:r>
        <w:rPr>
          <w:rFonts w:ascii="Helvetica" w:hAnsi="Helvetica"/>
          <w:b/>
          <w:sz w:val="20"/>
        </w:rPr>
        <w:t xml:space="preserve">Version: </w:t>
      </w:r>
      <w:r>
        <w:rPr>
          <w:rFonts w:ascii="Helvetica" w:hAnsi="Helvetica"/>
          <w:sz w:val="20"/>
        </w:rPr>
        <w:t>1</w:t>
        <w:br/>
      </w:r>
      <w:r>
        <w:rPr>
          <w:rFonts w:ascii="Helvetica" w:hAnsi="Helvetica"/>
          <w:b/>
          <w:sz w:val="20"/>
        </w:rPr>
        <w:t xml:space="preserve">Document Type: </w:t>
      </w:r>
      <w:r>
        <w:rPr>
          <w:rFonts w:ascii="Helvetica" w:hAnsi="Helvetica"/>
          <w:sz w:val="20"/>
        </w:rPr>
        <w:t>Procedure</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20 August, 2012</w:t>
        <w:br/>
      </w:r>
      <w:r>
        <w:rPr>
          <w:rFonts w:ascii="Helvetica" w:hAnsi="Helvetica"/>
          <w:b/>
          <w:sz w:val="20"/>
        </w:rPr>
        <w:t xml:space="preserve">Audience: </w:t>
      </w:r>
      <w:r>
        <w:rPr>
          <w:rFonts w:ascii="Helvetica" w:hAnsi="Helvetica"/>
          <w:sz w:val="20"/>
        </w:rPr>
        <w:t>Staff, Research, Academic</w:t>
        <w:br/>
      </w:r>
      <w:r>
        <w:rPr>
          <w:rFonts w:ascii="Helvetica" w:hAnsi="Helvetica"/>
          <w:b/>
          <w:sz w:val="20"/>
        </w:rPr>
        <w:t xml:space="preserve">Effective Date: </w:t>
      </w:r>
      <w:r>
        <w:rPr>
          <w:rFonts w:ascii="Helvetica" w:hAnsi="Helvetica"/>
          <w:sz w:val="20"/>
        </w:rPr>
        <w:t>21 August, 2012</w:t>
        <w:br/>
      </w:r>
      <w:r>
        <w:rPr>
          <w:rFonts w:ascii="Helvetica" w:hAnsi="Helvetica"/>
          <w:b/>
          <w:sz w:val="20"/>
        </w:rPr>
        <w:t xml:space="preserve">Review due by: </w:t>
      </w:r>
      <w:r>
        <w:rPr>
          <w:rFonts w:ascii="Helvetica" w:hAnsi="Helvetica"/>
          <w:sz w:val="20"/>
        </w:rPr>
        <w:t>28 February, 2015</w:t>
        <w:br/>
      </w:r>
      <w:r>
        <w:rPr>
          <w:rFonts w:ascii="Helvetica" w:hAnsi="Helvetica"/>
          <w:b/>
          <w:sz w:val="20"/>
        </w:rPr>
        <w:t xml:space="preserve">Policy Approver: </w:t>
      </w:r>
      <w:r>
        <w:rPr>
          <w:rFonts w:ascii="Helvetica" w:hAnsi="Helvetica"/>
          <w:sz w:val="20"/>
        </w:rPr>
        <w:t>Executive Director, Human Resources</w:t>
        <w:br/>
      </w:r>
      <w:r>
        <w:rPr>
          <w:rFonts w:ascii="Helvetica" w:hAnsi="Helvetica"/>
          <w:b/>
          <w:sz w:val="20"/>
        </w:rPr>
        <w:t xml:space="preserve">Policy Steward: </w:t>
      </w:r>
      <w:r>
        <w:rPr>
          <w:rFonts w:ascii="Helvetica" w:hAnsi="Helvetica"/>
          <w:sz w:val="20"/>
        </w:rPr>
        <w:t xml:space="preserve">Director, Hr Specialist Services </w:t>
        <w:br/>
      </w:r>
    </w:p>
    <w:p>
      <w:r/>
      <w:r/>
      <w:r/>
      <w:r/>
      <w:r/>
      <w:r/>
    </w:p>
    <w:p>
      <w:pPr>
        <w:pStyle w:val="Heading2"/>
      </w:pPr>
      <w:r/>
      <w:r/>
      <w:r/>
      <w:r>
        <w:t xml:space="preserve">GOVERNING POLICY </w:t>
      </w:r>
      <w:r/>
      <w:r/>
      <w:r/>
      <w:r/>
      <w:r/>
    </w:p>
    <w:p>
      <w:r/>
      <w:r>
        <w:t xml:space="preserve">This procedure is made under the Recruitment and Appointment Policy. </w:t>
      </w:r>
      <w:r/>
      <w:r/>
      <w:r/>
      <w:r/>
      <w:r/>
      <w:r/>
    </w:p>
    <w:p>
      <w:pPr>
        <w:pStyle w:val="Heading2"/>
      </w:pPr>
      <w:r/>
      <w:r/>
      <w:r/>
      <w:r>
        <w:t xml:space="preserve">SCOPE </w:t>
      </w:r>
      <w:r/>
      <w:r/>
      <w:r/>
      <w:r/>
      <w:r/>
    </w:p>
    <w:p>
      <w:r/>
      <w:r>
        <w:t xml:space="preserve">This procedure applies to all staff at the University, independent contractors, honorary appointees and University visitors. </w:t>
      </w:r>
      <w:r/>
      <w:r/>
      <w:r/>
      <w:r/>
      <w:r/>
      <w:r/>
    </w:p>
    <w:p>
      <w:pPr>
        <w:pStyle w:val="Heading2"/>
      </w:pPr>
      <w:r/>
      <w:r/>
      <w:r/>
      <w:r>
        <w:t xml:space="preserve">PROCEDURE </w:t>
      </w:r>
      <w:r/>
      <w:r/>
      <w:r/>
      <w:r/>
      <w:r/>
      <w:r/>
      <w:r/>
      <w:r/>
      <w:r/>
      <w:r/>
    </w:p>
    <w:p>
      <w:pPr>
        <w:pStyle w:val="Heading3"/>
      </w:pPr>
      <w:r/>
      <w:r/>
      <w:r/>
      <w:r>
        <w:t xml:space="preserve">1. Categorising the relationship </w:t>
      </w:r>
      <w:r/>
      <w:r/>
      <w:r/>
      <w:r/>
      <w:r/>
    </w:p>
    <w:p>
      <w:r/>
      <w:r>
        <w:t xml:space="preserve">1.1 Where the University wishes to establish a professional relationship with an individual, the head of budget division will ensure that an appropriate type of appointment is established with the individual, except in the case of a casual appointment where the head of department will ensure the appropriate type of relationship is established, from the following categories: </w:t>
      </w:r>
      <w:r/>
      <w:r/>
    </w:p>
    <w:p>
      <w:pPr>
        <w:pStyle w:val="ListBullet"/>
        <w:spacing w:line="240" w:lineRule="auto"/>
        <w:ind w:left="360"/>
      </w:pPr>
      <w:r/>
      <w:r>
        <w:t xml:space="preserve">employee </w:t>
      </w:r>
      <w:r/>
    </w:p>
    <w:p>
      <w:pPr>
        <w:pStyle w:val="ListBullet"/>
        <w:spacing w:line="240" w:lineRule="auto"/>
        <w:ind w:left="360"/>
      </w:pPr>
      <w:r/>
      <w:r>
        <w:t xml:space="preserve">independent contractor </w:t>
      </w:r>
      <w:r/>
    </w:p>
    <w:p>
      <w:pPr>
        <w:pStyle w:val="ListBullet"/>
        <w:spacing w:line="240" w:lineRule="auto"/>
        <w:ind w:left="360"/>
      </w:pPr>
      <w:r/>
      <w:r>
        <w:t xml:space="preserve">honorary appointment </w:t>
      </w:r>
      <w:r/>
    </w:p>
    <w:p>
      <w:pPr>
        <w:pStyle w:val="ListBullet"/>
        <w:spacing w:line="240" w:lineRule="auto"/>
        <w:ind w:left="360"/>
      </w:pPr>
      <w:r/>
      <w:r>
        <w:t xml:space="preserve">University visitor </w:t>
      </w:r>
      <w:r/>
    </w:p>
    <w:p>
      <w:pPr>
        <w:pStyle w:val="ListBullet"/>
        <w:spacing w:line="240" w:lineRule="auto"/>
        <w:ind w:left="360"/>
      </w:pPr>
      <w:r/>
      <w:r/>
      <w:r>
        <w:rPr>
          <w:i/>
        </w:rPr>
        <w:t xml:space="preserve">sui generis </w:t>
      </w:r>
      <w:r>
        <w:t xml:space="preserve">(one of a kind). </w:t>
      </w:r>
      <w:r/>
      <w:r/>
    </w:p>
    <w:p>
      <w:r/>
      <w:r>
        <w:t xml:space="preserve">1.2 The head of budget division or head of department will determine the appropriate type of appointment on the basis of the nature of the individual’s contribution, payment arrangements and the individual’s academic status. Table 1 sets out these key factors influencing the type of appointment. </w:t>
      </w:r>
      <w:r/>
    </w:p>
    <w:p>
      <w:r/>
      <w:r/>
      <w:r>
        <w:rPr>
          <w:b/>
        </w:rPr>
        <w:t xml:space="preserve">Table 1. Types of Appointment </w:t>
      </w:r>
      <w:r/>
      <w:r/>
    </w:p>
    <w:tbl>
      <w:tblPr>
        <w:tblStyle w:val="TableGrid"/>
        <w:tblW w:type="auto" w:w="0"/>
        <w:tblLook w:firstColumn="1" w:firstRow="1" w:lastColumn="0" w:lastRow="0" w:noHBand="0" w:noVBand="1" w:val="04A0"/>
      </w:tblPr>
      <w:tblGrid>
        <w:gridCol w:w="2160"/>
        <w:gridCol w:w="2160"/>
        <w:gridCol w:w="2160"/>
        <w:gridCol w:w="2160"/>
      </w:tblGrid>
      <w:tr>
        <w:tc>
          <w:tcPr>
            <w:tcW w:type="dxa" w:w="2160"/>
          </w:tcPr>
          <w:p>
            <w:r/>
          </w:p>
          <w:p>
            <w:r/>
            <w:r/>
            <w:r>
              <w:rPr>
                <w:b/>
              </w:rPr>
              <w:t xml:space="preserve">Nature of contribution </w:t>
            </w:r>
            <w:r/>
            <w:r/>
          </w:p>
        </w:tc>
        <w:tc>
          <w:tcPr>
            <w:tcW w:type="dxa" w:w="2160"/>
          </w:tcPr>
          <w:p>
            <w:r/>
          </w:p>
          <w:p>
            <w:r/>
            <w:r/>
            <w:r>
              <w:rPr>
                <w:b/>
              </w:rPr>
              <w:t xml:space="preserve">Payment </w:t>
            </w:r>
            <w:r/>
            <w:r/>
          </w:p>
        </w:tc>
        <w:tc>
          <w:tcPr>
            <w:tcW w:type="dxa" w:w="2160"/>
          </w:tcPr>
          <w:p>
            <w:r/>
          </w:p>
          <w:p>
            <w:r/>
            <w:r/>
            <w:r>
              <w:rPr>
                <w:b/>
              </w:rPr>
              <w:t xml:space="preserve">Academic status </w:t>
            </w:r>
            <w:r/>
            <w:r/>
          </w:p>
        </w:tc>
        <w:tc>
          <w:tcPr>
            <w:tcW w:type="dxa" w:w="2160"/>
          </w:tcPr>
          <w:p>
            <w:r/>
          </w:p>
          <w:p>
            <w:r/>
            <w:r/>
            <w:r>
              <w:rPr>
                <w:b/>
              </w:rPr>
              <w:t xml:space="preserve">Appointment </w:t>
            </w:r>
            <w:r/>
            <w:r>
              <w:rPr>
                <w:b/>
              </w:rPr>
              <w:t xml:space="preserve">Type </w:t>
            </w:r>
            <w:r/>
            <w:r/>
          </w:p>
        </w:tc>
      </w:tr>
      <w:tr>
        <w:tc>
          <w:tcPr>
            <w:tcW w:type="dxa" w:w="2160"/>
          </w:tcPr>
          <w:p>
            <w:r/>
          </w:p>
          <w:p>
            <w:r/>
            <w:r>
              <w:t xml:space="preserve">Individual undertakes agreed work program in directed manner or individual is paid remuneration in accordance with work outcomes. </w:t>
            </w:r>
            <w:r/>
          </w:p>
        </w:tc>
        <w:tc>
          <w:tcPr>
            <w:tcW w:type="dxa" w:w="2160"/>
          </w:tcPr>
          <w:p>
            <w:r/>
          </w:p>
          <w:p>
            <w:r/>
            <w:r>
              <w:t xml:space="preserve">University salary rates </w:t>
            </w:r>
            <w:r/>
          </w:p>
        </w:tc>
        <w:tc>
          <w:tcPr>
            <w:tcW w:type="dxa" w:w="2160"/>
          </w:tcPr>
          <w:p>
            <w:r/>
          </w:p>
          <w:p>
            <w:r/>
            <w:r>
              <w:t xml:space="preserve">May be awarded an academic appointment at the University of Melbourne, as appropriate </w:t>
            </w:r>
            <w:r/>
          </w:p>
        </w:tc>
        <w:tc>
          <w:tcPr>
            <w:tcW w:type="dxa" w:w="2160"/>
          </w:tcPr>
          <w:p>
            <w:r/>
          </w:p>
          <w:p>
            <w:r/>
            <w:r/>
            <w:r>
              <w:rPr>
                <w:b/>
              </w:rPr>
              <w:t xml:space="preserve">Employee </w:t>
            </w:r>
            <w:r/>
            <w:r/>
          </w:p>
          <w:p>
            <w:r/>
            <w:r/>
            <w:r/>
          </w:p>
          <w:p>
            <w:r/>
            <w:r>
              <w:t xml:space="preserve">(on a continuing, fixed term or casual basis) </w:t>
            </w:r>
            <w:r/>
          </w:p>
        </w:tc>
      </w:tr>
      <w:tr>
        <w:tc>
          <w:tcPr>
            <w:tcW w:type="dxa" w:w="2160"/>
          </w:tcPr>
          <w:p>
            <w:r/>
          </w:p>
          <w:p>
            <w:r/>
            <w:r>
              <w:t xml:space="preserve">Individual undertakes agreed work program in directed manner or individual is paid remuneration in accordance with work outcomes. </w:t>
            </w:r>
            <w:r/>
          </w:p>
        </w:tc>
        <w:tc>
          <w:tcPr>
            <w:tcW w:type="dxa" w:w="2160"/>
          </w:tcPr>
          <w:p>
            <w:r/>
          </w:p>
          <w:p>
            <w:r/>
            <w:r>
              <w:t xml:space="preserve">Any sum other than University salary rates </w:t>
            </w:r>
            <w:r/>
          </w:p>
        </w:tc>
        <w:tc>
          <w:tcPr>
            <w:tcW w:type="dxa" w:w="2160"/>
          </w:tcPr>
          <w:p>
            <w:r/>
          </w:p>
          <w:p>
            <w:r/>
            <w:r>
              <w:t xml:space="preserve">Holds academic appointment at another University </w:t>
            </w:r>
            <w:r/>
          </w:p>
        </w:tc>
        <w:tc>
          <w:tcPr>
            <w:tcW w:type="dxa" w:w="2160"/>
          </w:tcPr>
          <w:p>
            <w:r/>
          </w:p>
          <w:p>
            <w:r/>
            <w:r/>
            <w:r>
              <w:rPr>
                <w:b/>
              </w:rPr>
              <w:t xml:space="preserve">Independent contractor </w:t>
            </w:r>
            <w:r/>
            <w:r/>
          </w:p>
          <w:p>
            <w:r/>
            <w:r>
              <w:t xml:space="preserve">(providing academic services) </w:t>
            </w:r>
            <w:r/>
          </w:p>
          <w:p>
            <w:r/>
            <w:r>
              <w:t xml:space="preserve">plus, if required, </w:t>
            </w:r>
            <w:r/>
          </w:p>
          <w:p>
            <w:r/>
            <w:r/>
            <w:r>
              <w:rPr>
                <w:b/>
              </w:rPr>
              <w:t xml:space="preserve">Honorary appointment </w:t>
            </w:r>
            <w:r/>
            <w:r/>
          </w:p>
          <w:p>
            <w:r/>
            <w:r>
              <w:t xml:space="preserve">(as separate appointment) </w:t>
            </w:r>
            <w:r/>
          </w:p>
        </w:tc>
      </w:tr>
      <w:tr>
        <w:tc>
          <w:tcPr>
            <w:tcW w:type="dxa" w:w="2160"/>
          </w:tcPr>
          <w:p>
            <w:r/>
          </w:p>
          <w:p>
            <w:r/>
            <w:r>
              <w:t xml:space="preserve">Individual undertakes agreed work program in directed manner or individual is paid remuneration in accordance with work outcomes. </w:t>
            </w:r>
            <w:r/>
          </w:p>
        </w:tc>
        <w:tc>
          <w:tcPr>
            <w:tcW w:type="dxa" w:w="2160"/>
          </w:tcPr>
          <w:p>
            <w:r/>
          </w:p>
          <w:p>
            <w:r/>
            <w:r>
              <w:t xml:space="preserve">Any sum other than University salary rates </w:t>
            </w:r>
            <w:r/>
          </w:p>
        </w:tc>
        <w:tc>
          <w:tcPr>
            <w:tcW w:type="dxa" w:w="2160"/>
          </w:tcPr>
          <w:p>
            <w:r/>
          </w:p>
          <w:p>
            <w:r/>
            <w:r>
              <w:t xml:space="preserve">Does not hold academic appointment at another University </w:t>
            </w:r>
            <w:r/>
          </w:p>
        </w:tc>
        <w:tc>
          <w:tcPr>
            <w:tcW w:type="dxa" w:w="2160"/>
          </w:tcPr>
          <w:p>
            <w:r/>
          </w:p>
          <w:p>
            <w:r/>
            <w:r/>
            <w:r>
              <w:rPr>
                <w:b/>
              </w:rPr>
              <w:t xml:space="preserve">Independent contractor </w:t>
            </w:r>
            <w:r/>
            <w:r/>
          </w:p>
          <w:p>
            <w:r/>
            <w:r>
              <w:t xml:space="preserve">(providing non-academic services) </w:t>
            </w:r>
            <w:r/>
          </w:p>
        </w:tc>
      </w:tr>
      <w:tr>
        <w:tc>
          <w:tcPr>
            <w:tcW w:type="dxa" w:w="2160"/>
          </w:tcPr>
          <w:p>
            <w:r/>
          </w:p>
          <w:p>
            <w:r/>
            <w:r>
              <w:t xml:space="preserve">Individual provides academic services in essentially voluntary or ad hoc manner. Eg. provides occasional lecture, attends research seminars. </w:t>
            </w:r>
            <w:r/>
          </w:p>
        </w:tc>
        <w:tc>
          <w:tcPr>
            <w:tcW w:type="dxa" w:w="2160"/>
          </w:tcPr>
          <w:p>
            <w:r/>
          </w:p>
          <w:p>
            <w:r/>
            <w:r>
              <w:t xml:space="preserve">Less than $300 per day and, for individuals not travelling on a business visa, up to a maximum of $20,007 p.a. </w:t>
            </w:r>
            <w:r/>
          </w:p>
        </w:tc>
        <w:tc>
          <w:tcPr>
            <w:tcW w:type="dxa" w:w="2160"/>
          </w:tcPr>
          <w:p>
            <w:r/>
          </w:p>
          <w:p>
            <w:r/>
            <w:r>
              <w:t xml:space="preserve">Holds academic appointment at another University </w:t>
            </w:r>
            <w:r/>
          </w:p>
        </w:tc>
        <w:tc>
          <w:tcPr>
            <w:tcW w:type="dxa" w:w="2160"/>
          </w:tcPr>
          <w:p>
            <w:r/>
          </w:p>
          <w:p>
            <w:r/>
            <w:r/>
            <w:r>
              <w:rPr>
                <w:b/>
              </w:rPr>
              <w:t xml:space="preserve">Academic visitor </w:t>
            </w:r>
            <w:r/>
            <w:r/>
          </w:p>
        </w:tc>
      </w:tr>
      <w:tr>
        <w:tc>
          <w:tcPr>
            <w:tcW w:type="dxa" w:w="2160"/>
          </w:tcPr>
          <w:p>
            <w:r/>
          </w:p>
          <w:p>
            <w:r/>
            <w:r>
              <w:t xml:space="preserve">Individual provides academic services in essentially voluntary or ad hoc manner. Eg. provides occasional lecture, attends research seminars. </w:t>
            </w:r>
            <w:r/>
          </w:p>
        </w:tc>
        <w:tc>
          <w:tcPr>
            <w:tcW w:type="dxa" w:w="2160"/>
          </w:tcPr>
          <w:p>
            <w:r/>
          </w:p>
          <w:p>
            <w:r/>
            <w:r>
              <w:t xml:space="preserve">Less than $300 per day and, for individuals not travelling on a business visa, up to a maximum of $20,007 p.a. </w:t>
            </w:r>
            <w:r/>
          </w:p>
        </w:tc>
        <w:tc>
          <w:tcPr>
            <w:tcW w:type="dxa" w:w="2160"/>
          </w:tcPr>
          <w:p>
            <w:r/>
          </w:p>
          <w:p>
            <w:r/>
            <w:r>
              <w:t xml:space="preserve">Does not hold academic appointment at another University </w:t>
            </w:r>
            <w:r/>
          </w:p>
        </w:tc>
        <w:tc>
          <w:tcPr>
            <w:tcW w:type="dxa" w:w="2160"/>
          </w:tcPr>
          <w:p>
            <w:r/>
          </w:p>
          <w:p>
            <w:r/>
            <w:r/>
            <w:r>
              <w:rPr>
                <w:b/>
              </w:rPr>
              <w:t xml:space="preserve">Honorary appointment </w:t>
            </w:r>
            <w:r/>
            <w:r/>
          </w:p>
          <w:p>
            <w:r/>
            <w:r/>
            <w:r/>
          </w:p>
          <w:p>
            <w:r/>
            <w:r>
              <w:t xml:space="preserve">or </w:t>
            </w:r>
            <w:r/>
          </w:p>
          <w:p>
            <w:r/>
            <w:r/>
            <w:r/>
          </w:p>
          <w:p>
            <w:r/>
            <w:r/>
            <w:r>
              <w:rPr>
                <w:b/>
              </w:rPr>
              <w:t xml:space="preserve">Non-academic visitor </w:t>
            </w:r>
            <w:r/>
            <w:r/>
          </w:p>
        </w:tc>
      </w:tr>
    </w:tbl>
    <w:p>
      <w:r/>
    </w:p>
    <w:p>
      <w:r/>
      <w:r>
        <w:t xml:space="preserve">1.3 By law, service or services which are delivered on a regular or directed basis must be recognised through either an employment or contractor relationship. </w:t>
      </w:r>
      <w:r/>
    </w:p>
    <w:p>
      <w:r/>
      <w:r>
        <w:t xml:space="preserve">1.4 An employee is not permitted to establish any professional relationship with the University other than the employment relationship. </w:t>
      </w:r>
      <w:r/>
    </w:p>
    <w:p>
      <w:r/>
      <w:r>
        <w:t xml:space="preserve">1.5 An independent contractor may hold an honorary appointment at the University and may be appointed as a University visitor (although this affords the contractor no additional benefit). </w:t>
      </w:r>
      <w:r/>
      <w:r/>
      <w:r/>
      <w:r/>
      <w:r/>
      <w:r/>
    </w:p>
    <w:p>
      <w:pPr>
        <w:pStyle w:val="Heading2"/>
      </w:pPr>
      <w:r/>
      <w:r/>
      <w:r/>
      <w:r>
        <w:t xml:space="preserve">RELATED DOCUMENTS </w:t>
      </w:r>
      <w:r/>
      <w:r/>
      <w:r/>
      <w:r/>
      <w:r/>
      <w:r/>
    </w:p>
    <w:p>
      <w:pPr>
        <w:pStyle w:val="ListBullet"/>
        <w:spacing w:line="240" w:lineRule="auto"/>
        <w:ind w:left="360"/>
      </w:pPr>
      <w:r/>
      <w:r/>
      <w:hyperlink r:id="rId9">
        <w:r>
          <w:rPr>
            <w:color w:val="0000EE"/>
            <w:u w:val="single"/>
          </w:rPr>
          <w:t xml:space="preserve">University of Melbourne Collective Agreement 2010 </w:t>
        </w:r>
      </w:hyperlink>
      <w:r/>
      <w:r/>
    </w:p>
    <w:p>
      <w:pPr>
        <w:pStyle w:val="ListBullet"/>
        <w:spacing w:line="240" w:lineRule="auto"/>
        <w:ind w:left="360"/>
      </w:pPr>
      <w:r/>
      <w:r/>
      <w:hyperlink r:id="rId10">
        <w:r>
          <w:rPr>
            <w:color w:val="0000EE"/>
            <w:u w:val="single"/>
          </w:rPr>
          <w:t xml:space="preserve">University of Melbourne Enterprise Agreement 2006 </w:t>
        </w:r>
      </w:hyperlink>
      <w:r/>
      <w:r/>
      <w:r/>
      <w:r/>
    </w:p>
    <w:p>
      <w:pPr>
        <w:pStyle w:val="ListBullet"/>
        <w:spacing w:line="240" w:lineRule="auto"/>
        <w:ind w:left="360"/>
      </w:pPr>
      <w:r/>
      <w:r/>
      <w:hyperlink r:id="rId11">
        <w:r>
          <w:rPr>
            <w:color w:val="0000EE"/>
            <w:u w:val="single"/>
          </w:rPr>
          <w:t xml:space="preserve">Recruitment and Appointment Policy </w:t>
        </w:r>
      </w:hyperlink>
      <w:r/>
      <w:r/>
    </w:p>
    <w:p>
      <w:pPr>
        <w:pStyle w:val="ListBullet"/>
        <w:spacing w:line="240" w:lineRule="auto"/>
        <w:ind w:left="360"/>
      </w:pPr>
      <w:r/>
      <w:r/>
      <w:hyperlink r:id="rId12">
        <w:r>
          <w:rPr>
            <w:color w:val="0000EE"/>
            <w:u w:val="single"/>
          </w:rPr>
          <w:t xml:space="preserve">Recruitment, Selection and Appointment Procedure </w:t>
        </w:r>
      </w:hyperlink>
      <w:r/>
      <w:r/>
    </w:p>
    <w:p>
      <w:pPr>
        <w:pStyle w:val="ListBullet"/>
        <w:spacing w:line="240" w:lineRule="auto"/>
        <w:ind w:left="360"/>
      </w:pPr>
      <w:r/>
      <w:r/>
      <w:hyperlink r:id="rId13">
        <w:r>
          <w:rPr>
            <w:color w:val="0000EE"/>
            <w:u w:val="single"/>
          </w:rPr>
          <w:t xml:space="preserve">Honorary Appointments and University Visitors Procedure </w:t>
        </w:r>
      </w:hyperlink>
      <w:r/>
      <w:r/>
    </w:p>
    <w:p>
      <w:pPr>
        <w:pStyle w:val="ListBullet"/>
        <w:spacing w:line="240" w:lineRule="auto"/>
        <w:ind w:left="360"/>
      </w:pPr>
      <w:r/>
      <w:r/>
      <w:hyperlink r:id="rId14">
        <w:r>
          <w:rPr>
            <w:color w:val="0000EE"/>
            <w:u w:val="single"/>
          </w:rPr>
          <w:t xml:space="preserve">Contractors and Consultants Policy </w:t>
        </w:r>
      </w:hyperlink>
      <w:r/>
      <w:r/>
    </w:p>
    <w:p>
      <w:pPr>
        <w:pStyle w:val="ListBullet"/>
        <w:spacing w:line="240" w:lineRule="auto"/>
        <w:ind w:left="360"/>
      </w:pPr>
      <w:r/>
      <w:r/>
      <w:hyperlink r:id="rId15">
        <w:r>
          <w:rPr>
            <w:color w:val="0000EE"/>
            <w:u w:val="single"/>
          </w:rPr>
          <w:t xml:space="preserve">Human Resources website </w:t>
        </w:r>
      </w:hyperlink>
      <w:r/>
      <w:r/>
      <w:r/>
      <w:r/>
      <w:r/>
      <w:r/>
      <w:r/>
      <w:r/>
    </w:p>
    <w:p>
      <w:pPr>
        <w:pStyle w:val="Heading2"/>
      </w:pPr>
      <w:r/>
      <w:r/>
      <w:r/>
      <w:r>
        <w:t xml:space="preserve">RESPONSIBLE OFFICER </w:t>
      </w:r>
      <w:r/>
      <w:r/>
      <w:r/>
      <w:r/>
      <w:r/>
    </w:p>
    <w:p>
      <w:r/>
      <w:r>
        <w:t xml:space="preserve">The Executive Director, Human Resources is responsible for the development, compliance monitoring and review of this procedure and any associated guidelines. </w:t>
      </w:r>
      <w:r/>
      <w:r/>
      <w:r/>
      <w:r/>
      <w:r/>
      <w:r/>
    </w:p>
    <w:p>
      <w:pPr>
        <w:pStyle w:val="Heading2"/>
      </w:pPr>
      <w:r/>
      <w:r/>
      <w:r/>
      <w:r>
        <w:t xml:space="preserve">IMPLEMENTATION OFFICER </w:t>
      </w:r>
      <w:r/>
      <w:r/>
      <w:r/>
      <w:r/>
      <w:r/>
    </w:p>
    <w:p>
      <w:r/>
      <w:r>
        <w:t xml:space="preserve">The Director HR Specialist Services is responsible for the promulgation and implementation of this procedure in accordance with the scope outlined above. Enquiries about interpretation of this procedure should be directed to the Implementation Officer. </w:t>
      </w:r>
      <w:r/>
      <w:r/>
      <w:r/>
      <w:r/>
      <w:r/>
      <w:r/>
    </w:p>
    <w:p>
      <w:pPr>
        <w:pStyle w:val="Heading2"/>
      </w:pPr>
      <w:r/>
      <w:r/>
      <w:r/>
      <w:r>
        <w:t xml:space="preserve">REVIEW </w:t>
      </w:r>
      <w:r/>
      <w:r/>
      <w:r/>
      <w:r/>
      <w:r/>
    </w:p>
    <w:p>
      <w:r/>
      <w:r>
        <w:t xml:space="preserve">This procedure is to be reviewed by 28 February 2015.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p>
          <w:p>
            <w:r/>
            <w:r/>
            <w:r>
              <w:rPr>
                <w:b/>
              </w:rPr>
              <w:t xml:space="preserve">Version </w:t>
            </w:r>
            <w:r/>
            <w:r/>
          </w:p>
        </w:tc>
        <w:tc>
          <w:tcPr>
            <w:tcW w:type="dxa" w:w="1728"/>
          </w:tcPr>
          <w:p>
            <w:r/>
          </w:p>
          <w:p>
            <w:r/>
            <w:r/>
            <w:r>
              <w:rPr>
                <w:b/>
              </w:rPr>
              <w:t xml:space="preserve">Authorised </w:t>
            </w:r>
            <w:r/>
            <w:r>
              <w:rPr>
                <w:b/>
              </w:rPr>
              <w:t xml:space="preserve">by </w:t>
            </w:r>
            <w:r/>
            <w:r/>
          </w:p>
        </w:tc>
        <w:tc>
          <w:tcPr>
            <w:tcW w:type="dxa" w:w="1728"/>
          </w:tcPr>
          <w:p>
            <w:r/>
          </w:p>
          <w:p>
            <w:r/>
            <w:r/>
            <w:r>
              <w:rPr>
                <w:b/>
              </w:rPr>
              <w:t xml:space="preserve">Approval Date </w:t>
            </w:r>
            <w:r/>
            <w:r/>
          </w:p>
        </w:tc>
        <w:tc>
          <w:tcPr>
            <w:tcW w:type="dxa" w:w="1728"/>
          </w:tcPr>
          <w:p>
            <w:r/>
          </w:p>
          <w:p>
            <w:r/>
            <w:r/>
            <w:r>
              <w:rPr>
                <w:b/>
              </w:rPr>
              <w:t xml:space="preserve">Effective Date </w:t>
            </w:r>
            <w:r/>
            <w:r/>
          </w:p>
        </w:tc>
        <w:tc>
          <w:tcPr>
            <w:tcW w:type="dxa" w:w="1728"/>
          </w:tcPr>
          <w:p>
            <w:r/>
          </w:p>
          <w:p>
            <w:r/>
            <w:r/>
            <w:r>
              <w:rPr>
                <w:b/>
              </w:rPr>
              <w:t xml:space="preserve">Sections modified </w:t>
            </w:r>
            <w:r/>
            <w:r/>
          </w:p>
        </w:tc>
      </w:tr>
      <w:tr>
        <w:tc>
          <w:tcPr>
            <w:tcW w:type="dxa" w:w="1728"/>
          </w:tcPr>
          <w:p>
            <w:r/>
          </w:p>
          <w:p>
            <w:r/>
            <w:r>
              <w:t xml:space="preserve">1 </w:t>
            </w:r>
            <w:r/>
          </w:p>
        </w:tc>
        <w:tc>
          <w:tcPr>
            <w:tcW w:type="dxa" w:w="1728"/>
          </w:tcPr>
          <w:p>
            <w:r/>
          </w:p>
          <w:p>
            <w:r/>
            <w:r>
              <w:t xml:space="preserve">Senior Vice Principal </w:t>
            </w:r>
            <w:r/>
          </w:p>
        </w:tc>
        <w:tc>
          <w:tcPr>
            <w:tcW w:type="dxa" w:w="1728"/>
          </w:tcPr>
          <w:p>
            <w:r/>
          </w:p>
          <w:p>
            <w:r/>
            <w:r>
              <w:t xml:space="preserve">21 August 2012 </w:t>
            </w:r>
            <w:r/>
          </w:p>
        </w:tc>
        <w:tc>
          <w:tcPr>
            <w:tcW w:type="dxa" w:w="1728"/>
          </w:tcPr>
          <w:p>
            <w:r/>
          </w:p>
          <w:p>
            <w:r/>
            <w:r>
              <w:t xml:space="preserve">21 August 2012 </w:t>
            </w:r>
            <w:r/>
          </w:p>
        </w:tc>
        <w:tc>
          <w:tcPr>
            <w:tcW w:type="dxa" w:w="1728"/>
          </w:tcPr>
          <w:p>
            <w:r/>
          </w:p>
          <w:p>
            <w:r/>
            <w:r>
              <w:t xml:space="preserve">New version arising from the Policy Simplification Project. Loaded into MPL as Version 1. </w:t>
            </w:r>
            <w:r/>
          </w:p>
        </w:tc>
      </w:tr>
    </w:tbl>
    <w:p>
      <w:r/>
      <w:r/>
      <w:r/>
      <w:r/>
    </w:p>
    <w:sectPr w:rsidR="00FC693F" w:rsidRPr="0006063C" w:rsidSect="00034616">
      <w:footerReference w:type="default" r:id="rId16"/>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www.hr.unimelb.edu.au/__data/assets/pdf_file/0015/321144/University_of_Melbourne_Collective_Agreement_2010_incl_signatures.pdf" TargetMode="External"/><Relationship Id="rId10" Type="http://schemas.openxmlformats.org/officeDocument/2006/relationships/hyperlink" Target="http://www.hr.unimelb.edu.au/__data/assets/pdf_file/0019/26407/ea-2006.pdf" TargetMode="External"/><Relationship Id="rId11" Type="http://schemas.openxmlformats.org/officeDocument/2006/relationships/hyperlink" Target="http://policy.unimelb.edu.au/MPF1214" TargetMode="External"/><Relationship Id="rId12" Type="http://schemas.openxmlformats.org/officeDocument/2006/relationships/hyperlink" Target="http://policy.unimelb.edu.au/MPF1159" TargetMode="External"/><Relationship Id="rId13" Type="http://schemas.openxmlformats.org/officeDocument/2006/relationships/hyperlink" Target="http://policy.unimelb.edu.au/MPF1156" TargetMode="External"/><Relationship Id="rId14" Type="http://schemas.openxmlformats.org/officeDocument/2006/relationships/hyperlink" Target="http://policy.unimelb.edu.au/MPF1131" TargetMode="External"/><Relationship Id="rId15" Type="http://schemas.openxmlformats.org/officeDocument/2006/relationships/hyperlink" Target="http://www.hr.unimelb.edu.au/" TargetMode="External"/><Relationship Id="rId16" Type="http://schemas.openxmlformats.org/officeDocument/2006/relationships/footer" Target="footer1.xml"/><Relationship Id="rId17" Type="http://schemas.openxmlformats.org/officeDocument/2006/relationships/hyperlink" Target="https://policy.unimelb.edu.au/category/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